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30" w:rsidRPr="008A09D1" w:rsidRDefault="006541EF" w:rsidP="008A09D1">
      <w:pPr>
        <w:spacing w:after="0"/>
        <w:jc w:val="right"/>
        <w:rPr>
          <w:sz w:val="52"/>
          <w:szCs w:val="52"/>
        </w:rPr>
      </w:pPr>
      <w:r w:rsidRPr="008A09D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-62865</wp:posOffset>
            </wp:positionV>
            <wp:extent cx="1230630" cy="1603375"/>
            <wp:effectExtent l="57150" t="19050" r="121920" b="73025"/>
            <wp:wrapTight wrapText="bothSides">
              <wp:wrapPolygon edited="0">
                <wp:start x="-1003" y="-257"/>
                <wp:lineTo x="-334" y="22584"/>
                <wp:lineTo x="23071" y="22584"/>
                <wp:lineTo x="23740" y="20531"/>
                <wp:lineTo x="23740" y="3080"/>
                <wp:lineTo x="23406" y="257"/>
                <wp:lineTo x="23071" y="-257"/>
                <wp:lineTo x="-1003" y="-2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A09D1">
        <w:rPr>
          <w:sz w:val="52"/>
          <w:szCs w:val="52"/>
        </w:rPr>
        <w:t>FINDINGS</w:t>
      </w:r>
    </w:p>
    <w:p w:rsidR="006541EF" w:rsidRPr="009674EC" w:rsidRDefault="006541EF" w:rsidP="008A09D1">
      <w:pPr>
        <w:spacing w:after="0" w:line="240" w:lineRule="auto"/>
        <w:jc w:val="right"/>
        <w:rPr>
          <w:b/>
          <w:sz w:val="32"/>
        </w:rPr>
      </w:pPr>
      <w:r w:rsidRPr="009674EC">
        <w:rPr>
          <w:b/>
          <w:sz w:val="32"/>
        </w:rPr>
        <w:t>From the</w:t>
      </w:r>
    </w:p>
    <w:p w:rsidR="006541EF" w:rsidRPr="009674EC" w:rsidRDefault="006541EF" w:rsidP="008A09D1">
      <w:pPr>
        <w:spacing w:after="0" w:line="240" w:lineRule="auto"/>
        <w:jc w:val="right"/>
        <w:rPr>
          <w:b/>
          <w:sz w:val="32"/>
        </w:rPr>
      </w:pPr>
      <w:r w:rsidRPr="009674EC">
        <w:rPr>
          <w:b/>
          <w:sz w:val="32"/>
        </w:rPr>
        <w:t>2012 Community Health Profile</w:t>
      </w:r>
    </w:p>
    <w:p w:rsidR="006541EF" w:rsidRPr="009674EC" w:rsidRDefault="006541EF" w:rsidP="008A09D1">
      <w:pPr>
        <w:spacing w:after="0" w:line="240" w:lineRule="auto"/>
        <w:jc w:val="right"/>
        <w:rPr>
          <w:sz w:val="32"/>
        </w:rPr>
      </w:pPr>
      <w:r w:rsidRPr="009674EC">
        <w:rPr>
          <w:b/>
          <w:sz w:val="32"/>
        </w:rPr>
        <w:t>&amp; Health Needs Assessment Report</w:t>
      </w:r>
    </w:p>
    <w:p w:rsidR="006541EF" w:rsidRPr="00C96F49" w:rsidRDefault="006541EF"/>
    <w:p w:rsidR="006E46F4" w:rsidRPr="008A09D1" w:rsidRDefault="00A442F6" w:rsidP="00A442F6">
      <w:pPr>
        <w:spacing w:after="0" w:line="240" w:lineRule="auto"/>
        <w:rPr>
          <w:i/>
          <w:sz w:val="20"/>
          <w:szCs w:val="20"/>
        </w:rPr>
      </w:pPr>
      <w:r w:rsidRPr="008A09D1">
        <w:rPr>
          <w:i/>
          <w:sz w:val="20"/>
          <w:szCs w:val="20"/>
        </w:rPr>
        <w:t>The goal of this document is to synthesize all of the data from the report to arrive at a set of major Community Health Assessment findings.  Because the Community Health Profile and Health Needs Assessment Report is a comprehensive 90-page document, it is impossible to include all of the salient data, concepts, and needs discussed within – this document aims to provide a summary of findings only.</w:t>
      </w:r>
    </w:p>
    <w:p w:rsidR="008A09D1" w:rsidRDefault="008A09D1" w:rsidP="007F40B9">
      <w:pPr>
        <w:spacing w:after="0" w:line="240" w:lineRule="auto"/>
        <w:jc w:val="center"/>
        <w:rPr>
          <w:rFonts w:cstheme="minorHAnsi"/>
        </w:rPr>
        <w:sectPr w:rsidR="008A09D1" w:rsidSect="008A09D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F7197" w:rsidRPr="00C96F49" w:rsidRDefault="003F7197" w:rsidP="007F40B9">
      <w:pPr>
        <w:spacing w:after="0" w:line="240" w:lineRule="auto"/>
        <w:jc w:val="center"/>
        <w:rPr>
          <w:rFonts w:cstheme="minorHAnsi"/>
        </w:rPr>
      </w:pPr>
    </w:p>
    <w:p w:rsidR="003F7197" w:rsidRPr="00C96F49" w:rsidRDefault="003F7197" w:rsidP="003F7197">
      <w:pPr>
        <w:shd w:val="clear" w:color="auto" w:fill="D6E3BC" w:themeFill="accent3" w:themeFillTint="66"/>
        <w:spacing w:after="0" w:line="240" w:lineRule="auto"/>
        <w:rPr>
          <w:b/>
        </w:rPr>
      </w:pPr>
      <w:r w:rsidRPr="00C96F49">
        <w:rPr>
          <w:b/>
        </w:rPr>
        <w:t>Opportunity Measures (p. 13-16)</w:t>
      </w:r>
    </w:p>
    <w:p w:rsidR="00C96F49" w:rsidRPr="00C96F49" w:rsidRDefault="0088712A" w:rsidP="00571762">
      <w:pPr>
        <w:shd w:val="clear" w:color="auto" w:fill="D6E3BC" w:themeFill="accent3" w:themeFillTint="66"/>
        <w:spacing w:after="0" w:line="240" w:lineRule="auto"/>
      </w:pPr>
      <w:r w:rsidRPr="00C96F49">
        <w:t xml:space="preserve">Opportunity Measures include the indicators Housing Segregation and Income Inequality. Income Inequality is the level in which income is distributed spatially among a given community. </w:t>
      </w:r>
      <w:r w:rsidR="00CE4920" w:rsidRPr="00C96F49">
        <w:t>High levels of Income Inequality are</w:t>
      </w:r>
      <w:r w:rsidRPr="00C96F49">
        <w:t xml:space="preserve"> often associated with poor health outcomes, particularly for low-income families</w:t>
      </w:r>
      <w:r w:rsidR="00360864" w:rsidRPr="00C96F49">
        <w:t>. Housing Segregation is the measure of how segregated a community is with white headed households and minority headed households. High levels of segregation can reduce access to resources encouraging healthier behaviors.</w:t>
      </w:r>
      <w:r w:rsidR="003F7197" w:rsidRPr="00C96F49">
        <w:t xml:space="preserve"> </w:t>
      </w:r>
    </w:p>
    <w:p w:rsidR="00C96F49" w:rsidRPr="00C96F49" w:rsidRDefault="00C96F49" w:rsidP="00245716">
      <w:pPr>
        <w:spacing w:after="0" w:line="240" w:lineRule="auto"/>
        <w:rPr>
          <w:color w:val="9BBB59"/>
        </w:rPr>
      </w:pPr>
    </w:p>
    <w:p w:rsidR="00245716" w:rsidRPr="00C96F49" w:rsidRDefault="009674EC" w:rsidP="00245716">
      <w:pPr>
        <w:spacing w:after="0" w:line="240" w:lineRule="auto"/>
        <w:rPr>
          <w:color w:val="9BBB59"/>
        </w:rPr>
      </w:pPr>
      <w:r w:rsidRPr="00C96F49">
        <w:rPr>
          <w:color w:val="9BBB59"/>
        </w:rPr>
        <w:t>FINDINGS:</w:t>
      </w:r>
    </w:p>
    <w:p w:rsidR="00645265" w:rsidRPr="00C96F49" w:rsidRDefault="00645265" w:rsidP="00645265">
      <w:pPr>
        <w:pStyle w:val="ListParagraph"/>
        <w:numPr>
          <w:ilvl w:val="0"/>
          <w:numId w:val="9"/>
        </w:numPr>
        <w:spacing w:after="0" w:line="240" w:lineRule="auto"/>
        <w:rPr>
          <w:color w:val="9BBB59"/>
        </w:rPr>
      </w:pPr>
      <w:r w:rsidRPr="00C96F49">
        <w:rPr>
          <w:color w:val="9BBB59"/>
        </w:rPr>
        <w:t xml:space="preserve">The tri-county area is more equal in terms of income distribution than the State of Michigan -- but there is more housing segregation of minority residents. </w:t>
      </w:r>
    </w:p>
    <w:p w:rsidR="00645265" w:rsidRPr="00C96F49" w:rsidRDefault="00645265" w:rsidP="00645265">
      <w:pPr>
        <w:pStyle w:val="ListParagraph"/>
        <w:numPr>
          <w:ilvl w:val="0"/>
          <w:numId w:val="9"/>
        </w:numPr>
        <w:spacing w:after="0" w:line="240" w:lineRule="auto"/>
        <w:rPr>
          <w:color w:val="9BBB59"/>
        </w:rPr>
      </w:pPr>
      <w:r w:rsidRPr="00C96F49">
        <w:rPr>
          <w:color w:val="9BBB59"/>
        </w:rPr>
        <w:t xml:space="preserve">Of the three counties, Ingham is most unequal in terms of income distribution but the least segregated in terms of minority housing.  </w:t>
      </w:r>
    </w:p>
    <w:p w:rsidR="00645265" w:rsidRPr="00C96F49" w:rsidRDefault="00645265" w:rsidP="00645265">
      <w:pPr>
        <w:pStyle w:val="ListParagraph"/>
        <w:numPr>
          <w:ilvl w:val="0"/>
          <w:numId w:val="9"/>
        </w:numPr>
        <w:spacing w:after="0" w:line="240" w:lineRule="auto"/>
        <w:rPr>
          <w:color w:val="9BBB59"/>
        </w:rPr>
      </w:pPr>
      <w:r w:rsidRPr="00C96F49">
        <w:rPr>
          <w:color w:val="9BBB59"/>
        </w:rPr>
        <w:t xml:space="preserve">Eaton is the most equal in terms of income distribution, </w:t>
      </w:r>
      <w:r w:rsidR="00C96F49" w:rsidRPr="00C96F49">
        <w:rPr>
          <w:color w:val="9BBB59"/>
        </w:rPr>
        <w:t>but is</w:t>
      </w:r>
      <w:r w:rsidRPr="00C96F49">
        <w:rPr>
          <w:color w:val="9BBB59"/>
        </w:rPr>
        <w:t xml:space="preserve"> most segregated in terms of minority housing.  </w:t>
      </w:r>
    </w:p>
    <w:p w:rsidR="00645265" w:rsidRPr="00C96F49" w:rsidRDefault="00645265" w:rsidP="00645265">
      <w:pPr>
        <w:pStyle w:val="ListParagraph"/>
        <w:numPr>
          <w:ilvl w:val="0"/>
          <w:numId w:val="9"/>
        </w:numPr>
        <w:spacing w:after="0" w:line="240" w:lineRule="auto"/>
        <w:rPr>
          <w:color w:val="9BBB59"/>
        </w:rPr>
      </w:pPr>
      <w:r w:rsidRPr="00C96F49">
        <w:rPr>
          <w:color w:val="9BBB59"/>
        </w:rPr>
        <w:t xml:space="preserve">Income inequality is greatest in the Countryside Suburbs area and the Urban Upscale area – areas where median home values are highest in both urban and non-urban areas.  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9BBB59"/>
        </w:rPr>
      </w:pPr>
      <w:r w:rsidRPr="00C96F49">
        <w:rPr>
          <w:color w:val="9BBB59"/>
        </w:rPr>
        <w:t>Housing segregation doesn’t follow the same pattern – it is highest in the Urban Mid Price area, followed by the Urban Upscale and Farms &amp; Fields area</w:t>
      </w:r>
    </w:p>
    <w:p w:rsidR="003F7197" w:rsidRPr="00C96F49" w:rsidRDefault="003F7197" w:rsidP="003F7197">
      <w:pPr>
        <w:pStyle w:val="ListParagraph"/>
        <w:spacing w:after="0" w:line="240" w:lineRule="auto"/>
        <w:ind w:left="1080"/>
      </w:pPr>
    </w:p>
    <w:p w:rsidR="003F7197" w:rsidRPr="00C96F49" w:rsidRDefault="003F7197" w:rsidP="003F7197">
      <w:pPr>
        <w:shd w:val="clear" w:color="auto" w:fill="FBD4B4" w:themeFill="accent6" w:themeFillTint="66"/>
        <w:spacing w:after="0" w:line="240" w:lineRule="auto"/>
        <w:rPr>
          <w:b/>
        </w:rPr>
      </w:pPr>
      <w:r w:rsidRPr="00C96F49">
        <w:rPr>
          <w:b/>
        </w:rPr>
        <w:t>Social, Economic, and Environmental Factors (p.17-28)</w:t>
      </w:r>
    </w:p>
    <w:p w:rsidR="00C96F49" w:rsidRPr="008A09D1" w:rsidRDefault="00D002D0" w:rsidP="003F7197">
      <w:pPr>
        <w:shd w:val="clear" w:color="auto" w:fill="FBD4B4" w:themeFill="accent6" w:themeFillTint="66"/>
        <w:spacing w:after="0" w:line="240" w:lineRule="auto"/>
      </w:pPr>
      <w:r>
        <w:t xml:space="preserve">The </w:t>
      </w:r>
      <w:r w:rsidR="00C96F49" w:rsidRPr="00C96F49">
        <w:t>Social, Economic and Envir</w:t>
      </w:r>
      <w:r>
        <w:t>onmental Factors are known as</w:t>
      </w:r>
      <w:r w:rsidR="00C96F49" w:rsidRPr="00C96F49">
        <w:t xml:space="preserve"> the Social Determinants of Health. These factors can either help or hinder attempts at healthy living by the members of a given community. </w:t>
      </w:r>
      <w:r>
        <w:t>Example indicators include</w:t>
      </w:r>
      <w:r w:rsidR="00C96F49" w:rsidRPr="00C96F49">
        <w:t xml:space="preserve"> Income, Education, Affordable Housing, and </w:t>
      </w:r>
      <w:r>
        <w:t xml:space="preserve">the </w:t>
      </w:r>
      <w:r w:rsidR="00C96F49" w:rsidRPr="00C96F49">
        <w:t>Built Environment.</w:t>
      </w:r>
    </w:p>
    <w:p w:rsidR="00C96F49" w:rsidRPr="00C96F49" w:rsidRDefault="00C96F49" w:rsidP="00C851BD">
      <w:pPr>
        <w:spacing w:after="0" w:line="240" w:lineRule="auto"/>
        <w:rPr>
          <w:color w:val="F79646"/>
        </w:rPr>
      </w:pPr>
    </w:p>
    <w:p w:rsidR="00C851BD" w:rsidRPr="00C96F49" w:rsidRDefault="00C851BD" w:rsidP="00C851BD">
      <w:pPr>
        <w:spacing w:after="0" w:line="240" w:lineRule="auto"/>
        <w:rPr>
          <w:color w:val="F79646"/>
        </w:rPr>
      </w:pPr>
      <w:r w:rsidRPr="00C96F49">
        <w:rPr>
          <w:color w:val="F79646"/>
        </w:rPr>
        <w:t>FINDINGS: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>The tri-county area compares favorably or similarly to the State of Michigan on all indicators (where comparisons were possible)</w:t>
      </w:r>
      <w:r w:rsidR="00353211" w:rsidRPr="00C96F49">
        <w:rPr>
          <w:color w:val="F79646"/>
        </w:rPr>
        <w:t xml:space="preserve"> for Social, Economic and Environmental factors</w:t>
      </w:r>
      <w:r w:rsidRPr="00C96F49">
        <w:rPr>
          <w:color w:val="F79646"/>
        </w:rPr>
        <w:t xml:space="preserve">.  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>At a smaller geographic level, there are wide differences in the rates of child poverty, educational achievement, violent crime rates, affordable housing, preventable hospitalizations, nitrate contamination, and the built environment (living in a food desert).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 xml:space="preserve"> The </w:t>
      </w:r>
      <w:r w:rsidR="00353211" w:rsidRPr="00C96F49">
        <w:rPr>
          <w:color w:val="F79646"/>
        </w:rPr>
        <w:t>U</w:t>
      </w:r>
      <w:r w:rsidRPr="00C96F49">
        <w:rPr>
          <w:color w:val="F79646"/>
        </w:rPr>
        <w:t xml:space="preserve">rban areas have the highest rates of child poverty, high violent </w:t>
      </w:r>
      <w:r w:rsidR="00C96F49" w:rsidRPr="00C96F49">
        <w:rPr>
          <w:color w:val="F79646"/>
        </w:rPr>
        <w:t>crime;</w:t>
      </w:r>
      <w:r w:rsidRPr="00C96F49">
        <w:rPr>
          <w:color w:val="F79646"/>
        </w:rPr>
        <w:t xml:space="preserve"> </w:t>
      </w:r>
      <w:r w:rsidR="00483E14">
        <w:rPr>
          <w:color w:val="F79646"/>
        </w:rPr>
        <w:t xml:space="preserve">and </w:t>
      </w:r>
      <w:r w:rsidRPr="00C96F49">
        <w:rPr>
          <w:color w:val="F79646"/>
        </w:rPr>
        <w:t xml:space="preserve">have a large percent living in unaffordable housing.  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 xml:space="preserve">The Urban Low Price area additionally has the highest percentage of its population that lives in a food desert. </w:t>
      </w:r>
    </w:p>
    <w:p w:rsidR="00645265" w:rsidRPr="00C96F49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 xml:space="preserve">The Farms &amp; Fields area (rural with low median home values) has the lowest percent of adults with a bachelors’ degree or higher, and has the highest percent of water wells contaminated by nitrates.  </w:t>
      </w:r>
    </w:p>
    <w:p w:rsidR="00645265" w:rsidRDefault="00645265" w:rsidP="00645265">
      <w:pPr>
        <w:pStyle w:val="ListParagraph"/>
        <w:numPr>
          <w:ilvl w:val="0"/>
          <w:numId w:val="10"/>
        </w:numPr>
        <w:spacing w:after="0" w:line="240" w:lineRule="auto"/>
        <w:rPr>
          <w:color w:val="F79646"/>
        </w:rPr>
      </w:pPr>
      <w:r w:rsidRPr="00C96F49">
        <w:rPr>
          <w:color w:val="F79646"/>
        </w:rPr>
        <w:t>Preventable, or ambulatory care sensitive hospitalizations, are higher in Eaton and Ingham counties.</w:t>
      </w:r>
    </w:p>
    <w:p w:rsidR="008A09D1" w:rsidRDefault="008A09D1" w:rsidP="008A09D1">
      <w:pPr>
        <w:pStyle w:val="ListParagraph"/>
        <w:spacing w:after="0" w:line="240" w:lineRule="auto"/>
        <w:rPr>
          <w:color w:val="F79646"/>
        </w:rPr>
      </w:pPr>
    </w:p>
    <w:p w:rsidR="003F7197" w:rsidRPr="00C96F49" w:rsidRDefault="003F7197" w:rsidP="003F7197">
      <w:pPr>
        <w:shd w:val="clear" w:color="auto" w:fill="B8CCE4" w:themeFill="accent1" w:themeFillTint="66"/>
        <w:spacing w:after="0" w:line="240" w:lineRule="auto"/>
        <w:rPr>
          <w:b/>
        </w:rPr>
      </w:pPr>
      <w:r w:rsidRPr="00C96F49">
        <w:rPr>
          <w:b/>
        </w:rPr>
        <w:t>Behaviors, Stress, and Physical Condition (p. 29-39)</w:t>
      </w:r>
    </w:p>
    <w:p w:rsidR="00C96F49" w:rsidRPr="008A09D1" w:rsidRDefault="00C96F49" w:rsidP="003F7197">
      <w:pPr>
        <w:shd w:val="clear" w:color="auto" w:fill="B8CCE4" w:themeFill="accent1" w:themeFillTint="66"/>
        <w:spacing w:after="0" w:line="240" w:lineRule="auto"/>
      </w:pPr>
      <w:r w:rsidRPr="00C96F49">
        <w:t>Behaviors,</w:t>
      </w:r>
      <w:r w:rsidR="00483E14">
        <w:t xml:space="preserve"> Stress, and Physical Condition indicators are the</w:t>
      </w:r>
      <w:r w:rsidRPr="00C96F49">
        <w:t xml:space="preserve"> different factors that can protect from or contribute to certain health outcomes. Good </w:t>
      </w:r>
      <w:r w:rsidR="00483E14">
        <w:t xml:space="preserve">health </w:t>
      </w:r>
      <w:r w:rsidRPr="00C96F49">
        <w:t>behaviors,</w:t>
      </w:r>
      <w:r w:rsidR="00483E14">
        <w:t xml:space="preserve"> a</w:t>
      </w:r>
      <w:r w:rsidRPr="00C96F49">
        <w:t xml:space="preserve"> lack of stress</w:t>
      </w:r>
      <w:r w:rsidR="00483E14">
        <w:t>,</w:t>
      </w:r>
      <w:r w:rsidRPr="00C96F49">
        <w:t xml:space="preserve"> and </w:t>
      </w:r>
      <w:r w:rsidR="00483E14">
        <w:t>a healthy weight</w:t>
      </w:r>
      <w:r w:rsidRPr="00C96F49">
        <w:t xml:space="preserve"> can lead to good health</w:t>
      </w:r>
      <w:r w:rsidR="00483E14">
        <w:t>, and the reverse</w:t>
      </w:r>
      <w:r w:rsidRPr="00C96F49">
        <w:t xml:space="preserve"> </w:t>
      </w:r>
      <w:r w:rsidR="00F220E0">
        <w:t>is also true. Examples include</w:t>
      </w:r>
      <w:r w:rsidRPr="00C96F49">
        <w:t xml:space="preserve"> Obesity, Tobacco and Alcohol use, Access to Care and Mental Health.</w:t>
      </w:r>
    </w:p>
    <w:p w:rsidR="008A09D1" w:rsidRDefault="008A09D1" w:rsidP="00B565E7">
      <w:p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</w:p>
    <w:p w:rsidR="00B565E7" w:rsidRPr="00C96F49" w:rsidRDefault="00B565E7" w:rsidP="00B565E7">
      <w:p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lastRenderedPageBreak/>
        <w:t>FINDINGS: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The tri-county area fares better than the state of Michigan on a few indicators, including adult obesity, adolescent smoking, adolescent binge drinking, and fully immunized children.  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The area as a region fares worse than the state in adolescent obesity, adults with a primary care provider, primary care provider rate, and adolescents with symptoms of depression. 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At a smaller geographic level, there are significant differences in the county rates of many of the measures.  These measures are only available at the county-level.  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Adolescent obesity rates are higher than the state rate in Ingham County.  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Tobacco Use (smoking) rates are high in Eaton County adults and adolescents, Ingham County adults, and Clinton County adolescents.  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 xml:space="preserve">Alcohol Use is higher in Eaton County adults and adolescents.  </w:t>
      </w:r>
    </w:p>
    <w:p w:rsidR="00BD7156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>While Ingham County has the most doctors per person among the three counties, they also have the lowest percent of adults who say they have a primary care provider – and the exact rever</w:t>
      </w:r>
      <w:r w:rsidR="00BD7156">
        <w:rPr>
          <w:rFonts w:cstheme="minorHAnsi"/>
          <w:color w:val="4F81BD" w:themeColor="accent1"/>
        </w:rPr>
        <w:t>se is true for Clinton County.</w:t>
      </w:r>
    </w:p>
    <w:p w:rsidR="00645265" w:rsidRPr="00C96F49" w:rsidRDefault="00645265" w:rsidP="0064526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theme="minorHAnsi"/>
          <w:color w:val="4F81BD" w:themeColor="accent1"/>
        </w:rPr>
      </w:pPr>
      <w:r w:rsidRPr="00C96F49">
        <w:rPr>
          <w:rFonts w:cstheme="minorHAnsi"/>
          <w:color w:val="4F81BD" w:themeColor="accent1"/>
        </w:rPr>
        <w:t>Mental Health is worse in Eaton County and Ingham County adults and adolescents.</w:t>
      </w:r>
    </w:p>
    <w:p w:rsidR="003F7197" w:rsidRPr="00C96F49" w:rsidRDefault="003F7197" w:rsidP="003F7197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</w:rPr>
      </w:pPr>
    </w:p>
    <w:p w:rsidR="00D81977" w:rsidRPr="00C96F49" w:rsidRDefault="005541F5" w:rsidP="00993F5C">
      <w:pPr>
        <w:shd w:val="clear" w:color="auto" w:fill="F2DBDB" w:themeFill="accent2" w:themeFillTint="33"/>
        <w:spacing w:after="0" w:line="240" w:lineRule="auto"/>
        <w:rPr>
          <w:rFonts w:cstheme="minorHAnsi"/>
          <w:b/>
        </w:rPr>
      </w:pPr>
      <w:r w:rsidRPr="00C96F49">
        <w:rPr>
          <w:rFonts w:cstheme="minorHAnsi"/>
          <w:b/>
        </w:rPr>
        <w:t>Health Outcomes</w:t>
      </w:r>
      <w:r w:rsidR="00D81977" w:rsidRPr="00C96F49">
        <w:rPr>
          <w:rFonts w:cstheme="minorHAnsi"/>
          <w:b/>
        </w:rPr>
        <w:t xml:space="preserve"> (p. 40-50)</w:t>
      </w:r>
    </w:p>
    <w:p w:rsidR="00C96F49" w:rsidRPr="008A09D1" w:rsidRDefault="00C96F49" w:rsidP="00993F5C">
      <w:pPr>
        <w:shd w:val="clear" w:color="auto" w:fill="F2DBDB" w:themeFill="accent2" w:themeFillTint="33"/>
        <w:spacing w:after="0" w:line="240" w:lineRule="auto"/>
        <w:rPr>
          <w:rFonts w:cstheme="minorHAnsi"/>
        </w:rPr>
      </w:pPr>
      <w:r w:rsidRPr="00C96F49">
        <w:rPr>
          <w:rFonts w:cstheme="minorHAnsi"/>
        </w:rPr>
        <w:t>Health Outcomes are the end r</w:t>
      </w:r>
      <w:r w:rsidR="00F220E0">
        <w:rPr>
          <w:rFonts w:cstheme="minorHAnsi"/>
        </w:rPr>
        <w:t>esults from the combination of Opportunity M</w:t>
      </w:r>
      <w:r w:rsidRPr="00C96F49">
        <w:rPr>
          <w:rFonts w:cstheme="minorHAnsi"/>
        </w:rPr>
        <w:t>easures, Social, Economic and Environmental factors and Behaviors</w:t>
      </w:r>
      <w:r w:rsidR="00F220E0">
        <w:rPr>
          <w:rFonts w:cstheme="minorHAnsi"/>
        </w:rPr>
        <w:t>, Stress and Physical Condition</w:t>
      </w:r>
      <w:r w:rsidRPr="00C96F49">
        <w:rPr>
          <w:rFonts w:cstheme="minorHAnsi"/>
        </w:rPr>
        <w:t>. These are often measured in quality of life (illness/morbidity) or quantity of life (deaths/mortality).</w:t>
      </w:r>
      <w:r w:rsidR="00F220E0">
        <w:rPr>
          <w:rFonts w:cstheme="minorHAnsi"/>
        </w:rPr>
        <w:t xml:space="preserve"> </w:t>
      </w:r>
      <w:r w:rsidRPr="00C96F49">
        <w:rPr>
          <w:rFonts w:cstheme="minorHAnsi"/>
        </w:rPr>
        <w:t xml:space="preserve">Example indicators </w:t>
      </w:r>
      <w:r w:rsidR="00F220E0">
        <w:rPr>
          <w:rFonts w:cstheme="minorHAnsi"/>
        </w:rPr>
        <w:t>include</w:t>
      </w:r>
      <w:r w:rsidRPr="00C96F49">
        <w:rPr>
          <w:rFonts w:cstheme="minorHAnsi"/>
        </w:rPr>
        <w:t xml:space="preserve"> Child Health, Quality of life, Premature Death, Chronic Disease</w:t>
      </w:r>
      <w:r w:rsidR="00F220E0">
        <w:rPr>
          <w:rFonts w:cstheme="minorHAnsi"/>
        </w:rPr>
        <w:t>,</w:t>
      </w:r>
      <w:r w:rsidRPr="00C96F49">
        <w:rPr>
          <w:rFonts w:cstheme="minorHAnsi"/>
        </w:rPr>
        <w:t xml:space="preserve"> and </w:t>
      </w:r>
      <w:r w:rsidR="00F220E0">
        <w:rPr>
          <w:rFonts w:cstheme="minorHAnsi"/>
        </w:rPr>
        <w:t>Injuries</w:t>
      </w:r>
      <w:r w:rsidRPr="00C96F49">
        <w:rPr>
          <w:rFonts w:cstheme="minorHAnsi"/>
        </w:rPr>
        <w:t>.</w:t>
      </w:r>
    </w:p>
    <w:p w:rsidR="00C96F49" w:rsidRPr="00C96F49" w:rsidRDefault="00C96F49" w:rsidP="0088073D">
      <w:pPr>
        <w:spacing w:after="0" w:line="240" w:lineRule="auto"/>
        <w:rPr>
          <w:rFonts w:cstheme="minorHAnsi"/>
        </w:rPr>
      </w:pPr>
    </w:p>
    <w:p w:rsidR="0088073D" w:rsidRPr="00C96F49" w:rsidRDefault="0088073D" w:rsidP="0088073D">
      <w:pPr>
        <w:spacing w:after="0" w:line="240" w:lineRule="auto"/>
        <w:rPr>
          <w:color w:val="C0504D"/>
        </w:rPr>
      </w:pPr>
      <w:r w:rsidRPr="00C96F49">
        <w:rPr>
          <w:color w:val="C0504D"/>
        </w:rPr>
        <w:t>FINDINGS: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 xml:space="preserve">The three-county area fares better than the state of Michigan on many indicators, including preventable diabetes hospitalizations, premature deaths, infant mortality, cardiovascular disease deaths, and accidental injury deaths.  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 xml:space="preserve">The area as a region fares worse in preventable childhood asthma hospitalizations compared to the state – primarily because both Eaton and Ingham counties have a high rate, as well as perceived health status – all three counties have a worse rate than the State. 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 xml:space="preserve">At a smaller geographic level, there are wide differences in the rates of premature death, infant mortality rates, cardiovascular disease deaths, and accidental injury deaths.  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 xml:space="preserve">Areas with lower median home values in both urban and non-urban areas have higher rates of premature deaths and cardiovascular disease deaths.  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 xml:space="preserve">Infant mortality rates are high only in the Urban Low Price area, and are so low elsewhere as to be </w:t>
      </w:r>
      <w:proofErr w:type="spellStart"/>
      <w:r w:rsidRPr="00C96F49">
        <w:rPr>
          <w:color w:val="C0504D"/>
        </w:rPr>
        <w:t>unreportable</w:t>
      </w:r>
      <w:proofErr w:type="spellEnd"/>
      <w:r w:rsidRPr="00C96F49">
        <w:rPr>
          <w:color w:val="C0504D"/>
        </w:rPr>
        <w:t xml:space="preserve"> (can’t calculate a rate).  </w:t>
      </w:r>
    </w:p>
    <w:p w:rsidR="00645265" w:rsidRPr="00C96F49" w:rsidRDefault="00645265" w:rsidP="00645265">
      <w:pPr>
        <w:pStyle w:val="ListParagraph"/>
        <w:numPr>
          <w:ilvl w:val="0"/>
          <w:numId w:val="12"/>
        </w:numPr>
        <w:spacing w:after="0" w:line="240" w:lineRule="auto"/>
        <w:rPr>
          <w:color w:val="C0504D"/>
        </w:rPr>
      </w:pPr>
      <w:r w:rsidRPr="00C96F49">
        <w:rPr>
          <w:color w:val="C0504D"/>
        </w:rPr>
        <w:t>Accidental injury deaths are highest in the rural area with lower median home values (Farms &amp; Fields) – but also fairly high in the Urban Low Price area as well.</w:t>
      </w:r>
    </w:p>
    <w:p w:rsidR="003F7197" w:rsidRPr="00C96F49" w:rsidRDefault="003F7197" w:rsidP="003D1EFD">
      <w:pPr>
        <w:spacing w:after="0" w:line="240" w:lineRule="auto"/>
        <w:rPr>
          <w:b/>
        </w:rPr>
      </w:pPr>
    </w:p>
    <w:p w:rsidR="006541EF" w:rsidRPr="00C96F49" w:rsidRDefault="003D1EFD" w:rsidP="003D1EFD">
      <w:pPr>
        <w:spacing w:after="0" w:line="240" w:lineRule="auto"/>
        <w:rPr>
          <w:b/>
        </w:rPr>
      </w:pPr>
      <w:r w:rsidRPr="00C96F49">
        <w:rPr>
          <w:b/>
        </w:rPr>
        <w:t>Health Ine</w:t>
      </w:r>
      <w:r w:rsidR="006541EF" w:rsidRPr="00C96F49">
        <w:rPr>
          <w:b/>
        </w:rPr>
        <w:t>quity</w:t>
      </w:r>
    </w:p>
    <w:p w:rsidR="00D06196" w:rsidRPr="00C96F49" w:rsidRDefault="00183C99" w:rsidP="003D1EFD">
      <w:pPr>
        <w:spacing w:after="0" w:line="240" w:lineRule="auto"/>
      </w:pPr>
      <w:r w:rsidRPr="00C96F49">
        <w:t xml:space="preserve">Beyond the differences by geographic area, measures were analyzed by racial and ethnic groups when available.  </w:t>
      </w:r>
      <w:r w:rsidR="00D664BC" w:rsidRPr="00C96F49">
        <w:t xml:space="preserve">Eight (8) % of the </w:t>
      </w:r>
      <w:r w:rsidR="009674EC" w:rsidRPr="00C96F49">
        <w:t>population of the three-county area identifies</w:t>
      </w:r>
      <w:r w:rsidR="00D664BC" w:rsidRPr="00C96F49">
        <w:t xml:space="preserve"> </w:t>
      </w:r>
      <w:r w:rsidR="009674EC">
        <w:t xml:space="preserve">themselves </w:t>
      </w:r>
      <w:r w:rsidR="00D664BC" w:rsidRPr="00C96F49">
        <w:t>as</w:t>
      </w:r>
      <w:r w:rsidR="008A09D1">
        <w:t xml:space="preserve"> Black or African American, and</w:t>
      </w:r>
      <w:r w:rsidR="00EB60B5" w:rsidRPr="00C96F49">
        <w:t xml:space="preserve"> </w:t>
      </w:r>
      <w:r w:rsidR="00D664BC" w:rsidRPr="00C96F49">
        <w:t xml:space="preserve">six (6) % identify </w:t>
      </w:r>
      <w:r w:rsidR="009674EC">
        <w:t xml:space="preserve">themselves </w:t>
      </w:r>
      <w:r w:rsidR="00D664BC" w:rsidRPr="00C96F49">
        <w:t>as Hispanic or Latino, of any race.</w:t>
      </w:r>
      <w:r w:rsidR="00D06196" w:rsidRPr="00C96F49">
        <w:t xml:space="preserve"> </w:t>
      </w:r>
      <w:r w:rsidR="00EA0559" w:rsidRPr="00C96F49">
        <w:t xml:space="preserve">The Black </w:t>
      </w:r>
      <w:r w:rsidR="009674EC">
        <w:t>/</w:t>
      </w:r>
      <w:r w:rsidR="00EA0559" w:rsidRPr="00C96F49">
        <w:t>Africa</w:t>
      </w:r>
      <w:r w:rsidR="003F7197" w:rsidRPr="00C96F49">
        <w:t>n American population in the three</w:t>
      </w:r>
      <w:r w:rsidR="008A09D1">
        <w:t>-county area</w:t>
      </w:r>
      <w:r w:rsidR="00EA0559" w:rsidRPr="00C96F49">
        <w:t xml:space="preserve"> has </w:t>
      </w:r>
      <w:r w:rsidR="00D664BC" w:rsidRPr="00C96F49">
        <w:t>‘worse’</w:t>
      </w:r>
      <w:r w:rsidR="00EA0559" w:rsidRPr="00C96F49">
        <w:t xml:space="preserve"> rates of child</w:t>
      </w:r>
      <w:r w:rsidR="00D664BC" w:rsidRPr="00C96F49">
        <w:t xml:space="preserve"> poverty, civic participation, </w:t>
      </w:r>
      <w:r w:rsidR="00D06196" w:rsidRPr="00C96F49">
        <w:t xml:space="preserve">adolescent obesity, </w:t>
      </w:r>
      <w:r w:rsidR="00D664BC" w:rsidRPr="00C96F49">
        <w:t>having a primary care provider, mental health in adults, perceived health, premature de</w:t>
      </w:r>
      <w:r w:rsidR="00D06196" w:rsidRPr="00C96F49">
        <w:t>ath, and infant mortality.  Blacks</w:t>
      </w:r>
      <w:r w:rsidR="00D664BC" w:rsidRPr="00C96F49">
        <w:t xml:space="preserve"> have ‘better’ </w:t>
      </w:r>
      <w:r w:rsidR="00D06196" w:rsidRPr="00C96F49">
        <w:t>rates of adolescent smoking and</w:t>
      </w:r>
      <w:r w:rsidR="00EA0559" w:rsidRPr="00C96F49">
        <w:t xml:space="preserve"> </w:t>
      </w:r>
      <w:r w:rsidR="00D06196" w:rsidRPr="00C96F49">
        <w:t>adult alcohol use. Blacks</w:t>
      </w:r>
      <w:r w:rsidR="00D664BC" w:rsidRPr="00C96F49">
        <w:t xml:space="preserve"> have lower rates of </w:t>
      </w:r>
      <w:r w:rsidR="00D06196" w:rsidRPr="00C96F49">
        <w:t xml:space="preserve">possessing </w:t>
      </w:r>
      <w:r w:rsidR="00D664BC" w:rsidRPr="00C96F49">
        <w:t>bachelors’ degrees in Ingham County, but higher rates than whites in Clinton and Eaton Counties.</w:t>
      </w:r>
      <w:r w:rsidR="00D06196" w:rsidRPr="00C96F49">
        <w:t xml:space="preserve"> The Hispanic</w:t>
      </w:r>
      <w:r w:rsidR="003F7197" w:rsidRPr="00C96F49">
        <w:t xml:space="preserve"> or Latino population in the three</w:t>
      </w:r>
      <w:r w:rsidR="00D06196" w:rsidRPr="00C96F49">
        <w:t>-county area has ‘worse’ rates of child poverty, adults with a bachelor</w:t>
      </w:r>
      <w:r w:rsidR="008A09D1">
        <w:t>’s</w:t>
      </w:r>
      <w:r w:rsidR="00D06196" w:rsidRPr="00C96F49">
        <w:t xml:space="preserve"> degree, adolescent obesity, adolescent smoking, adolescent alcohol use, adolescent depression, and premature death.</w:t>
      </w:r>
    </w:p>
    <w:p w:rsidR="008A09D1" w:rsidRPr="00C96F49" w:rsidRDefault="00BB0753" w:rsidP="003D1EFD">
      <w:pPr>
        <w:spacing w:after="0" w:line="240" w:lineRule="auto"/>
      </w:pPr>
      <w:r w:rsidRPr="00C96F49">
        <w:tab/>
      </w:r>
    </w:p>
    <w:p w:rsidR="008A09D1" w:rsidRDefault="008A09D1" w:rsidP="003D1EFD">
      <w:pPr>
        <w:spacing w:after="0" w:line="240" w:lineRule="auto"/>
        <w:rPr>
          <w:b/>
        </w:rPr>
      </w:pPr>
    </w:p>
    <w:p w:rsidR="008A09D1" w:rsidRDefault="008A09D1" w:rsidP="003D1EFD">
      <w:pPr>
        <w:spacing w:after="0" w:line="240" w:lineRule="auto"/>
        <w:rPr>
          <w:b/>
        </w:rPr>
      </w:pPr>
    </w:p>
    <w:p w:rsidR="008A09D1" w:rsidRDefault="008A09D1" w:rsidP="003D1EFD">
      <w:pPr>
        <w:spacing w:after="0" w:line="240" w:lineRule="auto"/>
        <w:rPr>
          <w:b/>
        </w:rPr>
      </w:pPr>
    </w:p>
    <w:p w:rsidR="008A09D1" w:rsidRDefault="008A09D1" w:rsidP="003D1EFD">
      <w:pPr>
        <w:spacing w:after="0" w:line="240" w:lineRule="auto"/>
        <w:rPr>
          <w:b/>
        </w:rPr>
      </w:pPr>
    </w:p>
    <w:p w:rsidR="008A09D1" w:rsidRDefault="008A09D1" w:rsidP="003D1EFD">
      <w:pPr>
        <w:spacing w:after="0" w:line="240" w:lineRule="auto"/>
        <w:rPr>
          <w:b/>
        </w:rPr>
      </w:pPr>
    </w:p>
    <w:p w:rsidR="006541EF" w:rsidRPr="00BD7156" w:rsidRDefault="00BD7156" w:rsidP="003D1EFD">
      <w:pPr>
        <w:spacing w:after="0" w:line="240" w:lineRule="auto"/>
        <w:rPr>
          <w:b/>
        </w:rPr>
      </w:pPr>
      <w:proofErr w:type="gramStart"/>
      <w:r w:rsidRPr="00BD7156">
        <w:rPr>
          <w:b/>
        </w:rPr>
        <w:lastRenderedPageBreak/>
        <w:t>SUMMARY TABLE</w:t>
      </w:r>
      <w:r>
        <w:rPr>
          <w:b/>
        </w:rPr>
        <w:t>.</w:t>
      </w:r>
      <w:proofErr w:type="gramEnd"/>
      <w:r w:rsidRPr="00BD7156">
        <w:rPr>
          <w:b/>
        </w:rPr>
        <w:t xml:space="preserve"> </w:t>
      </w:r>
    </w:p>
    <w:p w:rsidR="00BD7156" w:rsidRDefault="00BD7156" w:rsidP="00BD7156">
      <w:pPr>
        <w:pStyle w:val="Caption"/>
        <w:keepNext/>
        <w:spacing w:after="0"/>
        <w:rPr>
          <w:b w:val="0"/>
          <w:color w:val="auto"/>
        </w:rPr>
      </w:pPr>
      <w:proofErr w:type="gramStart"/>
      <w:r>
        <w:rPr>
          <w:b w:val="0"/>
          <w:color w:val="auto"/>
        </w:rPr>
        <w:t>Indicator areas</w:t>
      </w:r>
      <w:r w:rsidR="00105329" w:rsidRPr="00105329">
        <w:rPr>
          <w:b w:val="0"/>
          <w:color w:val="auto"/>
        </w:rPr>
        <w:t xml:space="preserve"> of concern for each geographic area or racial/ethnic minority group</w:t>
      </w:r>
      <w:r>
        <w:rPr>
          <w:b w:val="0"/>
          <w:color w:val="auto"/>
        </w:rPr>
        <w:t xml:space="preserve">, signified by </w:t>
      </w:r>
      <w:r w:rsidRPr="00BF030D">
        <w:rPr>
          <w:rFonts w:ascii="Arial" w:hAnsi="Arial" w:cs="Arial"/>
          <w:color w:val="auto"/>
        </w:rPr>
        <w:t>●</w:t>
      </w:r>
      <w:r w:rsidR="00105329" w:rsidRPr="00105329">
        <w:rPr>
          <w:b w:val="0"/>
          <w:color w:val="auto"/>
        </w:rPr>
        <w:t>.</w:t>
      </w:r>
      <w:proofErr w:type="gramEnd"/>
      <w:r>
        <w:rPr>
          <w:b w:val="0"/>
          <w:color w:val="auto"/>
        </w:rPr>
        <w:t xml:space="preserve">  </w:t>
      </w:r>
    </w:p>
    <w:p w:rsidR="00F00D7D" w:rsidRDefault="00BD7156" w:rsidP="00BD7156">
      <w:pPr>
        <w:pStyle w:val="Caption"/>
        <w:keepNext/>
        <w:spacing w:after="0"/>
        <w:rPr>
          <w:b w:val="0"/>
          <w:color w:val="auto"/>
        </w:rPr>
      </w:pPr>
      <w:r>
        <w:rPr>
          <w:b w:val="0"/>
          <w:color w:val="auto"/>
        </w:rPr>
        <w:t>Areas with white fill indicate that the measure</w:t>
      </w:r>
      <w:r w:rsidR="00BF030D">
        <w:rPr>
          <w:b w:val="0"/>
          <w:color w:val="auto"/>
        </w:rPr>
        <w:t>s were</w:t>
      </w:r>
      <w:r>
        <w:rPr>
          <w:b w:val="0"/>
          <w:color w:val="auto"/>
        </w:rPr>
        <w:t xml:space="preserve"> not available for that indicator area.</w:t>
      </w:r>
    </w:p>
    <w:tbl>
      <w:tblPr>
        <w:tblStyle w:val="TableGrid"/>
        <w:tblW w:w="113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8" w:type="dxa"/>
          <w:left w:w="29" w:type="dxa"/>
          <w:bottom w:w="58" w:type="dxa"/>
          <w:right w:w="29" w:type="dxa"/>
        </w:tblCellMar>
        <w:tblLook w:val="06A0"/>
      </w:tblPr>
      <w:tblGrid>
        <w:gridCol w:w="1891"/>
        <w:gridCol w:w="449"/>
        <w:gridCol w:w="449"/>
        <w:gridCol w:w="449"/>
        <w:gridCol w:w="450"/>
        <w:gridCol w:w="451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0"/>
        <w:gridCol w:w="450"/>
        <w:gridCol w:w="450"/>
        <w:gridCol w:w="450"/>
        <w:gridCol w:w="451"/>
      </w:tblGrid>
      <w:tr w:rsidR="003C0AEF" w:rsidRPr="00C96F49" w:rsidTr="00955ED4">
        <w:trPr>
          <w:trHeight w:val="3680"/>
        </w:trPr>
        <w:tc>
          <w:tcPr>
            <w:tcW w:w="1872" w:type="dxa"/>
          </w:tcPr>
          <w:p w:rsidR="003C0AEF" w:rsidRPr="00C96F49" w:rsidRDefault="003C0AEF" w:rsidP="00B81868"/>
        </w:tc>
        <w:tc>
          <w:tcPr>
            <w:tcW w:w="445" w:type="dxa"/>
            <w:shd w:val="clear" w:color="auto" w:fill="EECFCE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>
              <w:t>Injury</w:t>
            </w:r>
          </w:p>
        </w:tc>
        <w:tc>
          <w:tcPr>
            <w:tcW w:w="445" w:type="dxa"/>
            <w:shd w:val="clear" w:color="auto" w:fill="EECFCE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Chronic Disease</w:t>
            </w:r>
          </w:p>
        </w:tc>
        <w:tc>
          <w:tcPr>
            <w:tcW w:w="445" w:type="dxa"/>
            <w:shd w:val="clear" w:color="auto" w:fill="EECFCE"/>
            <w:textDirection w:val="btLr"/>
            <w:vAlign w:val="center"/>
          </w:tcPr>
          <w:p w:rsidR="003C0AEF" w:rsidRPr="00C96F49" w:rsidRDefault="003C0AEF" w:rsidP="00047FB2">
            <w:pPr>
              <w:ind w:left="113" w:right="113"/>
            </w:pPr>
            <w:r w:rsidRPr="00C96F49">
              <w:t xml:space="preserve">Maternal &amp; </w:t>
            </w:r>
            <w:r>
              <w:t>Infant</w:t>
            </w:r>
            <w:r w:rsidRPr="00C96F49">
              <w:t xml:space="preserve"> Health</w:t>
            </w:r>
          </w:p>
        </w:tc>
        <w:tc>
          <w:tcPr>
            <w:tcW w:w="445" w:type="dxa"/>
            <w:shd w:val="clear" w:color="auto" w:fill="EECFCE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Premature Death</w:t>
            </w:r>
          </w:p>
        </w:tc>
        <w:tc>
          <w:tcPr>
            <w:tcW w:w="446" w:type="dxa"/>
            <w:shd w:val="clear" w:color="auto" w:fill="EECFCE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Quality of Life</w:t>
            </w:r>
          </w:p>
        </w:tc>
        <w:tc>
          <w:tcPr>
            <w:tcW w:w="445" w:type="dxa"/>
            <w:shd w:val="clear" w:color="auto" w:fill="EECFCE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Child Health</w:t>
            </w:r>
          </w:p>
        </w:tc>
        <w:tc>
          <w:tcPr>
            <w:tcW w:w="445" w:type="dxa"/>
            <w:shd w:val="clear" w:color="auto" w:fill="D5E1EF"/>
            <w:textDirection w:val="btLr"/>
            <w:vAlign w:val="center"/>
          </w:tcPr>
          <w:p w:rsidR="003C0AEF" w:rsidRPr="00C96F49" w:rsidRDefault="003C0AEF" w:rsidP="00047FB2">
            <w:pPr>
              <w:ind w:left="113" w:right="113"/>
            </w:pPr>
            <w:r w:rsidRPr="00C96F49">
              <w:t>Mental Health</w:t>
            </w:r>
            <w:r>
              <w:t xml:space="preserve"> </w:t>
            </w:r>
          </w:p>
        </w:tc>
        <w:tc>
          <w:tcPr>
            <w:tcW w:w="445" w:type="dxa"/>
            <w:shd w:val="clear" w:color="auto" w:fill="D5E1EF"/>
            <w:textDirection w:val="btLr"/>
            <w:vAlign w:val="center"/>
          </w:tcPr>
          <w:p w:rsidR="003C0AEF" w:rsidRPr="00C96F49" w:rsidRDefault="003C0AEF" w:rsidP="00047FB2">
            <w:pPr>
              <w:ind w:left="113" w:right="113"/>
            </w:pPr>
            <w:r w:rsidRPr="00C96F49">
              <w:t>Access to Care</w:t>
            </w:r>
            <w:r>
              <w:t xml:space="preserve"> </w:t>
            </w:r>
          </w:p>
        </w:tc>
        <w:tc>
          <w:tcPr>
            <w:tcW w:w="445" w:type="dxa"/>
            <w:shd w:val="clear" w:color="auto" w:fill="D5E1EF"/>
            <w:textDirection w:val="btLr"/>
            <w:vAlign w:val="center"/>
          </w:tcPr>
          <w:p w:rsidR="003C0AEF" w:rsidRPr="00C96F49" w:rsidRDefault="003C0AEF" w:rsidP="00047FB2">
            <w:pPr>
              <w:ind w:left="113" w:right="113"/>
            </w:pPr>
            <w:r w:rsidRPr="00C96F49">
              <w:t>Alcohol Use</w:t>
            </w:r>
            <w:r>
              <w:t xml:space="preserve"> </w:t>
            </w:r>
          </w:p>
        </w:tc>
        <w:tc>
          <w:tcPr>
            <w:tcW w:w="445" w:type="dxa"/>
            <w:shd w:val="clear" w:color="auto" w:fill="D5E1EF"/>
            <w:textDirection w:val="btLr"/>
            <w:vAlign w:val="center"/>
          </w:tcPr>
          <w:p w:rsidR="003C0AEF" w:rsidRPr="00C96F49" w:rsidRDefault="003C0AEF" w:rsidP="00047FB2">
            <w:pPr>
              <w:ind w:left="113" w:right="113"/>
            </w:pPr>
            <w:r w:rsidRPr="00C96F49">
              <w:t>Tobacco Use</w:t>
            </w:r>
            <w:r>
              <w:t xml:space="preserve"> </w:t>
            </w:r>
          </w:p>
        </w:tc>
        <w:tc>
          <w:tcPr>
            <w:tcW w:w="445" w:type="dxa"/>
            <w:shd w:val="clear" w:color="auto" w:fill="D5E1EF"/>
            <w:textDirection w:val="btLr"/>
            <w:vAlign w:val="center"/>
          </w:tcPr>
          <w:p w:rsidR="003C0AEF" w:rsidRPr="00C96F49" w:rsidRDefault="003C0AEF" w:rsidP="003C0AEF">
            <w:pPr>
              <w:ind w:left="113" w:right="113"/>
            </w:pPr>
            <w:r w:rsidRPr="001E2257">
              <w:t>Obesity</w:t>
            </w:r>
            <w:r>
              <w:t xml:space="preserve"> </w:t>
            </w: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Built Environment</w:t>
            </w:r>
            <w:r>
              <w:t xml:space="preserve"> </w:t>
            </w:r>
            <w:r w:rsidRPr="003C0AEF">
              <w:rPr>
                <w:sz w:val="20"/>
                <w:szCs w:val="20"/>
              </w:rPr>
              <w:t>(healthy food access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Environmental Quality</w:t>
            </w: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Quality of Primary Care</w:t>
            </w:r>
            <w:r>
              <w:t xml:space="preserve"> (prev. hosp)</w:t>
            </w: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Affordable Housing</w:t>
            </w:r>
          </w:p>
        </w:tc>
        <w:tc>
          <w:tcPr>
            <w:tcW w:w="446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Community Safety</w:t>
            </w:r>
          </w:p>
        </w:tc>
        <w:tc>
          <w:tcPr>
            <w:tcW w:w="445" w:type="dxa"/>
            <w:shd w:val="clear" w:color="auto" w:fill="FDE8D7"/>
            <w:textDirection w:val="btLr"/>
          </w:tcPr>
          <w:p w:rsidR="003C0AEF" w:rsidRPr="00C96F49" w:rsidRDefault="003C0AEF" w:rsidP="003C0AEF">
            <w:pPr>
              <w:ind w:left="113" w:right="113"/>
            </w:pPr>
            <w:r w:rsidRPr="00C96F49">
              <w:t>Social Connection &amp; Support</w:t>
            </w:r>
          </w:p>
          <w:p w:rsidR="003C0AEF" w:rsidRPr="00C96F49" w:rsidRDefault="003C0AEF" w:rsidP="003C0AEF">
            <w:pPr>
              <w:ind w:left="113" w:right="113"/>
            </w:pP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Education</w:t>
            </w:r>
          </w:p>
        </w:tc>
        <w:tc>
          <w:tcPr>
            <w:tcW w:w="445" w:type="dxa"/>
            <w:shd w:val="clear" w:color="auto" w:fill="FDE8D7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>
              <w:t>Income (child poverty)</w:t>
            </w:r>
          </w:p>
        </w:tc>
        <w:tc>
          <w:tcPr>
            <w:tcW w:w="445" w:type="dxa"/>
            <w:shd w:val="clear" w:color="auto" w:fill="EFF4E4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Housing Segregation</w:t>
            </w:r>
          </w:p>
        </w:tc>
        <w:tc>
          <w:tcPr>
            <w:tcW w:w="446" w:type="dxa"/>
            <w:shd w:val="clear" w:color="auto" w:fill="EFF4E4"/>
            <w:textDirection w:val="btLr"/>
            <w:vAlign w:val="center"/>
          </w:tcPr>
          <w:p w:rsidR="003C0AEF" w:rsidRPr="00C96F49" w:rsidRDefault="003C0AEF" w:rsidP="00DF5ABB">
            <w:pPr>
              <w:ind w:left="113" w:right="113"/>
            </w:pPr>
            <w:r w:rsidRPr="00C96F49">
              <w:t>Income Distribution</w:t>
            </w: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Tri-County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Clinton County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292238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Eaton County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>
              <w:rPr>
                <w:rFonts w:ascii="Trebuchet MS" w:hAnsi="Trebuchet MS" w:cstheme="minorHAnsi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292238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Ingham County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D5E1EF"/>
            <w:vAlign w:val="center"/>
          </w:tcPr>
          <w:p w:rsidR="003C0AEF" w:rsidRPr="00C96F49" w:rsidRDefault="003C0AEF" w:rsidP="00292238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Urban Low Price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292238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Farms &amp; Fields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tcBorders>
              <w:bottom w:val="single" w:sz="4" w:space="0" w:color="FFFFFF" w:themeColor="background1"/>
            </w:tcBorders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Black/Afr. American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BD7156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292238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  <w:tr w:rsidR="003C0AEF" w:rsidRPr="00C96F49" w:rsidTr="00955ED4">
        <w:tc>
          <w:tcPr>
            <w:tcW w:w="1872" w:type="dxa"/>
            <w:vAlign w:val="center"/>
          </w:tcPr>
          <w:p w:rsidR="003C0AEF" w:rsidRPr="00C96F49" w:rsidRDefault="003C0AEF" w:rsidP="00DF5ABB">
            <w:pPr>
              <w:jc w:val="right"/>
            </w:pPr>
            <w:r w:rsidRPr="00C96F49">
              <w:t>Hispanic/Latino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6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ECFCE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292238">
            <w:pPr>
              <w:jc w:val="center"/>
            </w:pP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D5E1EF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FFFFFF" w:themeFill="background1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  <w:r w:rsidRPr="00DF5ABB">
              <w:rPr>
                <w:rFonts w:ascii="Arial" w:hAnsi="Arial" w:cs="Arial"/>
              </w:rPr>
              <w:t>●</w:t>
            </w:r>
          </w:p>
        </w:tc>
        <w:tc>
          <w:tcPr>
            <w:tcW w:w="445" w:type="dxa"/>
            <w:shd w:val="clear" w:color="auto" w:fill="FDE8D7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5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  <w:tc>
          <w:tcPr>
            <w:tcW w:w="446" w:type="dxa"/>
            <w:shd w:val="clear" w:color="auto" w:fill="EFF4E4"/>
            <w:vAlign w:val="center"/>
          </w:tcPr>
          <w:p w:rsidR="003C0AEF" w:rsidRPr="00C96F49" w:rsidRDefault="003C0AEF" w:rsidP="00DF5ABB">
            <w:pPr>
              <w:jc w:val="center"/>
            </w:pPr>
          </w:p>
        </w:tc>
      </w:tr>
    </w:tbl>
    <w:p w:rsidR="00B81868" w:rsidRPr="00C96F49" w:rsidRDefault="00B81868" w:rsidP="00B81868">
      <w:pPr>
        <w:spacing w:after="0" w:line="240" w:lineRule="auto"/>
        <w:ind w:firstLine="720"/>
      </w:pPr>
    </w:p>
    <w:p w:rsidR="00BD7156" w:rsidRPr="002F04F1" w:rsidRDefault="00BD7156" w:rsidP="00BD7156">
      <w:pPr>
        <w:spacing w:after="0" w:line="240" w:lineRule="auto"/>
        <w:rPr>
          <w:b/>
        </w:rPr>
      </w:pPr>
      <w:r w:rsidRPr="002F04F1">
        <w:rPr>
          <w:b/>
        </w:rPr>
        <w:t xml:space="preserve">We conducted focus groups with persons who were uninsured, low-income, Black or African-American, Hispanic, in recovery, or disabled.  We identified these main issues: 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>affording health care and health insurance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 xml:space="preserve">affording and accessing healthy food 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>coping with stress and depression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>neighborhoods that support healthy choices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>transportation, especially for persons with disabilities</w:t>
      </w:r>
    </w:p>
    <w:p w:rsidR="00BD7156" w:rsidRPr="00C96F49" w:rsidRDefault="00BD7156" w:rsidP="00BD7156">
      <w:pPr>
        <w:pStyle w:val="ListParagraph"/>
        <w:numPr>
          <w:ilvl w:val="0"/>
          <w:numId w:val="3"/>
        </w:numPr>
        <w:spacing w:after="0" w:line="240" w:lineRule="auto"/>
      </w:pPr>
      <w:r w:rsidRPr="00C96F49">
        <w:t>improving the human services system to enable people to get help as needed</w:t>
      </w:r>
    </w:p>
    <w:p w:rsidR="00BD7156" w:rsidRPr="00C96F49" w:rsidRDefault="00BD7156" w:rsidP="00BD7156">
      <w:pPr>
        <w:spacing w:after="0" w:line="240" w:lineRule="auto"/>
        <w:ind w:firstLine="720"/>
      </w:pPr>
    </w:p>
    <w:p w:rsidR="00BD7156" w:rsidRPr="00C96F49" w:rsidRDefault="00BD7156" w:rsidP="00BD7156">
      <w:pPr>
        <w:spacing w:after="0" w:line="240" w:lineRule="auto"/>
        <w:rPr>
          <w:b/>
        </w:rPr>
      </w:pPr>
      <w:r w:rsidRPr="00C96F49">
        <w:rPr>
          <w:b/>
        </w:rPr>
        <w:t>How did we arrive at these findings?</w:t>
      </w:r>
    </w:p>
    <w:p w:rsidR="00BD7156" w:rsidRPr="00C96F49" w:rsidRDefault="00BD7156" w:rsidP="00BD7156">
      <w:pPr>
        <w:spacing w:after="0" w:line="240" w:lineRule="auto"/>
      </w:pPr>
      <w:r w:rsidRPr="00C96F49">
        <w:t>The above findings were drafted by project staff to summarize the 2012 Community Health Profile and Health Needs Assessment Document, and validated through discussion at the August 2</w:t>
      </w:r>
      <w:r w:rsidRPr="00C96F49">
        <w:rPr>
          <w:vertAlign w:val="superscript"/>
        </w:rPr>
        <w:t>nd</w:t>
      </w:r>
      <w:r w:rsidRPr="00C96F49">
        <w:t>, 2012 meeting of the Community Advisory Committee.</w:t>
      </w:r>
    </w:p>
    <w:p w:rsidR="00BD7156" w:rsidRPr="00C96F49" w:rsidRDefault="00BD7156" w:rsidP="003D1EFD">
      <w:pPr>
        <w:spacing w:after="0" w:line="240" w:lineRule="auto"/>
      </w:pPr>
    </w:p>
    <w:sectPr w:rsidR="00BD7156" w:rsidRPr="00C96F49" w:rsidSect="008A09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BC"/>
    <w:multiLevelType w:val="hybridMultilevel"/>
    <w:tmpl w:val="7598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1069"/>
    <w:multiLevelType w:val="hybridMultilevel"/>
    <w:tmpl w:val="092E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6CC1"/>
    <w:multiLevelType w:val="hybridMultilevel"/>
    <w:tmpl w:val="665C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3967"/>
    <w:multiLevelType w:val="hybridMultilevel"/>
    <w:tmpl w:val="2E142B62"/>
    <w:lvl w:ilvl="0" w:tplc="7AE4DC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404E"/>
    <w:multiLevelType w:val="hybridMultilevel"/>
    <w:tmpl w:val="E2A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27D2"/>
    <w:multiLevelType w:val="hybridMultilevel"/>
    <w:tmpl w:val="E7F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2C39"/>
    <w:multiLevelType w:val="hybridMultilevel"/>
    <w:tmpl w:val="239A1E52"/>
    <w:lvl w:ilvl="0" w:tplc="9DEC1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12BB9"/>
    <w:multiLevelType w:val="hybridMultilevel"/>
    <w:tmpl w:val="279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6317A"/>
    <w:multiLevelType w:val="hybridMultilevel"/>
    <w:tmpl w:val="51DA68D2"/>
    <w:lvl w:ilvl="0" w:tplc="5BF0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C0E9B"/>
    <w:multiLevelType w:val="hybridMultilevel"/>
    <w:tmpl w:val="E310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00B1"/>
    <w:multiLevelType w:val="hybridMultilevel"/>
    <w:tmpl w:val="3718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67FD9"/>
    <w:multiLevelType w:val="hybridMultilevel"/>
    <w:tmpl w:val="F6BE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1EF"/>
    <w:rsid w:val="00047FB2"/>
    <w:rsid w:val="00105329"/>
    <w:rsid w:val="00132221"/>
    <w:rsid w:val="00132F30"/>
    <w:rsid w:val="00142EB5"/>
    <w:rsid w:val="0014502E"/>
    <w:rsid w:val="00183C99"/>
    <w:rsid w:val="001D0163"/>
    <w:rsid w:val="001E2257"/>
    <w:rsid w:val="001F2503"/>
    <w:rsid w:val="00224802"/>
    <w:rsid w:val="00245716"/>
    <w:rsid w:val="00247AF1"/>
    <w:rsid w:val="002563BD"/>
    <w:rsid w:val="00273DF8"/>
    <w:rsid w:val="00290BF3"/>
    <w:rsid w:val="0029775B"/>
    <w:rsid w:val="002F04F1"/>
    <w:rsid w:val="002F3CEA"/>
    <w:rsid w:val="002F70E6"/>
    <w:rsid w:val="0033052D"/>
    <w:rsid w:val="0033236B"/>
    <w:rsid w:val="00353211"/>
    <w:rsid w:val="00360864"/>
    <w:rsid w:val="00367EAA"/>
    <w:rsid w:val="003B0C07"/>
    <w:rsid w:val="003C0AEF"/>
    <w:rsid w:val="003C62D3"/>
    <w:rsid w:val="003D1EFD"/>
    <w:rsid w:val="003F7197"/>
    <w:rsid w:val="00407AD1"/>
    <w:rsid w:val="00483E14"/>
    <w:rsid w:val="004B732F"/>
    <w:rsid w:val="005069D1"/>
    <w:rsid w:val="005376D1"/>
    <w:rsid w:val="005541F5"/>
    <w:rsid w:val="00571762"/>
    <w:rsid w:val="005A625B"/>
    <w:rsid w:val="005D18D1"/>
    <w:rsid w:val="005F4832"/>
    <w:rsid w:val="00617EC7"/>
    <w:rsid w:val="00645265"/>
    <w:rsid w:val="006541EF"/>
    <w:rsid w:val="006D39E8"/>
    <w:rsid w:val="006E46F4"/>
    <w:rsid w:val="00715E1E"/>
    <w:rsid w:val="00725E2D"/>
    <w:rsid w:val="0074150B"/>
    <w:rsid w:val="00764CF5"/>
    <w:rsid w:val="007A1313"/>
    <w:rsid w:val="007A2851"/>
    <w:rsid w:val="007F40B9"/>
    <w:rsid w:val="0085683C"/>
    <w:rsid w:val="00857B7F"/>
    <w:rsid w:val="008709F9"/>
    <w:rsid w:val="0088073D"/>
    <w:rsid w:val="0088712A"/>
    <w:rsid w:val="008A09D1"/>
    <w:rsid w:val="00947F46"/>
    <w:rsid w:val="00955ED4"/>
    <w:rsid w:val="009572B1"/>
    <w:rsid w:val="009674EC"/>
    <w:rsid w:val="00993F5C"/>
    <w:rsid w:val="009B0E64"/>
    <w:rsid w:val="009C015E"/>
    <w:rsid w:val="00A442F6"/>
    <w:rsid w:val="00B565E7"/>
    <w:rsid w:val="00B60279"/>
    <w:rsid w:val="00B81868"/>
    <w:rsid w:val="00B95A45"/>
    <w:rsid w:val="00BA228A"/>
    <w:rsid w:val="00BB0753"/>
    <w:rsid w:val="00BD7156"/>
    <w:rsid w:val="00BF030D"/>
    <w:rsid w:val="00BF20D7"/>
    <w:rsid w:val="00C32208"/>
    <w:rsid w:val="00C35899"/>
    <w:rsid w:val="00C851BD"/>
    <w:rsid w:val="00C96F49"/>
    <w:rsid w:val="00CE4920"/>
    <w:rsid w:val="00CF6710"/>
    <w:rsid w:val="00D002D0"/>
    <w:rsid w:val="00D06196"/>
    <w:rsid w:val="00D664BC"/>
    <w:rsid w:val="00D750FC"/>
    <w:rsid w:val="00D81977"/>
    <w:rsid w:val="00DF2B7D"/>
    <w:rsid w:val="00DF5ABB"/>
    <w:rsid w:val="00E243FD"/>
    <w:rsid w:val="00EA0559"/>
    <w:rsid w:val="00EB60B5"/>
    <w:rsid w:val="00EE50EF"/>
    <w:rsid w:val="00F00D7D"/>
    <w:rsid w:val="00F20C27"/>
    <w:rsid w:val="00F220E0"/>
    <w:rsid w:val="00F22EF9"/>
    <w:rsid w:val="00FA600D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1F5"/>
    <w:pPr>
      <w:ind w:left="720"/>
      <w:contextualSpacing/>
    </w:pPr>
  </w:style>
  <w:style w:type="table" w:styleId="TableGrid">
    <w:name w:val="Table Grid"/>
    <w:basedOn w:val="TableNormal"/>
    <w:uiPriority w:val="59"/>
    <w:rsid w:val="00D8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EB60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9E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00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8493-2109-43B0-88C0-165CE2E2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Barry-Eaton District Health Dept.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3</cp:revision>
  <cp:lastPrinted>2012-07-19T15:36:00Z</cp:lastPrinted>
  <dcterms:created xsi:type="dcterms:W3CDTF">2012-08-02T13:59:00Z</dcterms:created>
  <dcterms:modified xsi:type="dcterms:W3CDTF">2012-08-02T14:00:00Z</dcterms:modified>
</cp:coreProperties>
</file>