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000" w:type="pct"/>
        <w:tblCellMar>
          <w:left w:w="115" w:type="dxa"/>
          <w:right w:w="58" w:type="dxa"/>
        </w:tblCellMar>
        <w:tblLook w:val="04A0" w:firstRow="1" w:lastRow="0" w:firstColumn="1" w:lastColumn="0" w:noHBand="0" w:noVBand="1"/>
      </w:tblPr>
      <w:tblGrid>
        <w:gridCol w:w="1762"/>
        <w:gridCol w:w="9113"/>
        <w:gridCol w:w="3495"/>
      </w:tblGrid>
      <w:tr w:rsidR="00E471BB" w:rsidRPr="00BE158E" w:rsidTr="00BE5BA7">
        <w:trPr>
          <w:trHeight w:val="620"/>
        </w:trPr>
        <w:tc>
          <w:tcPr>
            <w:tcW w:w="613" w:type="pct"/>
            <w:tcBorders>
              <w:left w:val="double" w:sz="4" w:space="0" w:color="auto"/>
              <w:bottom w:val="double" w:sz="4" w:space="0" w:color="auto"/>
              <w:right w:val="double" w:sz="4" w:space="0" w:color="auto"/>
            </w:tcBorders>
            <w:vAlign w:val="center"/>
          </w:tcPr>
          <w:p w:rsidR="00E471BB" w:rsidRDefault="00E471BB" w:rsidP="002E420D">
            <w:pPr>
              <w:spacing w:line="216" w:lineRule="auto"/>
              <w:jc w:val="center"/>
              <w:rPr>
                <w:rFonts w:cstheme="minorHAnsi"/>
                <w:b/>
                <w:sz w:val="24"/>
                <w:szCs w:val="24"/>
              </w:rPr>
            </w:pPr>
            <w:r w:rsidRPr="00BE158E">
              <w:rPr>
                <w:rFonts w:cstheme="minorHAnsi"/>
                <w:b/>
                <w:sz w:val="24"/>
                <w:szCs w:val="24"/>
              </w:rPr>
              <w:t>Priority</w:t>
            </w:r>
          </w:p>
          <w:p w:rsidR="00BE5BA7" w:rsidRPr="00BE158E" w:rsidRDefault="00BE5BA7" w:rsidP="002E420D">
            <w:pPr>
              <w:spacing w:line="216" w:lineRule="auto"/>
              <w:jc w:val="center"/>
              <w:rPr>
                <w:rFonts w:cstheme="minorHAnsi"/>
                <w:b/>
                <w:sz w:val="24"/>
                <w:szCs w:val="24"/>
              </w:rPr>
            </w:pPr>
            <w:r>
              <w:rPr>
                <w:rFonts w:cstheme="minorHAnsi"/>
                <w:b/>
                <w:sz w:val="24"/>
                <w:szCs w:val="24"/>
              </w:rPr>
              <w:t>Category</w:t>
            </w:r>
          </w:p>
        </w:tc>
        <w:tc>
          <w:tcPr>
            <w:tcW w:w="3171" w:type="pct"/>
            <w:tcBorders>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sz w:val="24"/>
                <w:szCs w:val="24"/>
              </w:rPr>
            </w:pPr>
            <w:r w:rsidRPr="00BE158E">
              <w:rPr>
                <w:rFonts w:cstheme="minorHAnsi"/>
                <w:b/>
                <w:sz w:val="24"/>
                <w:szCs w:val="24"/>
              </w:rPr>
              <w:t>Description</w:t>
            </w:r>
          </w:p>
        </w:tc>
        <w:tc>
          <w:tcPr>
            <w:tcW w:w="1216" w:type="pct"/>
            <w:tcBorders>
              <w:left w:val="double" w:sz="4" w:space="0" w:color="auto"/>
              <w:bottom w:val="double" w:sz="4" w:space="0" w:color="auto"/>
              <w:right w:val="double" w:sz="4" w:space="0" w:color="auto"/>
            </w:tcBorders>
            <w:vAlign w:val="center"/>
          </w:tcPr>
          <w:p w:rsidR="00E471BB" w:rsidRPr="00BE158E" w:rsidRDefault="00BE5BA7" w:rsidP="002E420D">
            <w:pPr>
              <w:spacing w:line="216" w:lineRule="auto"/>
              <w:jc w:val="center"/>
              <w:rPr>
                <w:rFonts w:cstheme="minorHAnsi"/>
                <w:b/>
                <w:sz w:val="24"/>
                <w:szCs w:val="24"/>
              </w:rPr>
            </w:pPr>
            <w:r>
              <w:rPr>
                <w:rFonts w:cstheme="minorHAnsi"/>
                <w:b/>
                <w:sz w:val="24"/>
                <w:szCs w:val="24"/>
              </w:rPr>
              <w:t xml:space="preserve">Individual </w:t>
            </w:r>
            <w:r w:rsidR="00E471BB" w:rsidRPr="00BE158E">
              <w:rPr>
                <w:rFonts w:cstheme="minorHAnsi"/>
                <w:b/>
                <w:sz w:val="24"/>
                <w:szCs w:val="24"/>
              </w:rPr>
              <w:t>Measures from Assessment</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Financial Stability and Economic Mobility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3"/>
              </w:numPr>
              <w:spacing w:after="240" w:line="216" w:lineRule="auto"/>
              <w:ind w:left="252" w:hanging="180"/>
              <w:rPr>
                <w:rFonts w:cstheme="minorHAnsi"/>
                <w:bCs/>
                <w:sz w:val="20"/>
                <w:szCs w:val="18"/>
              </w:rPr>
            </w:pPr>
            <w:r w:rsidRPr="00BE158E">
              <w:rPr>
                <w:rFonts w:cstheme="minorHAnsi"/>
                <w:bCs/>
                <w:sz w:val="20"/>
                <w:szCs w:val="18"/>
              </w:rPr>
              <w:t>Financial stability can include many interrelated economic components, such as poverty and income.</w:t>
            </w:r>
          </w:p>
          <w:p w:rsidR="00E471BB" w:rsidRPr="00BE158E" w:rsidRDefault="00E471BB" w:rsidP="00E471BB">
            <w:pPr>
              <w:pStyle w:val="ListParagraph"/>
              <w:widowControl w:val="0"/>
              <w:numPr>
                <w:ilvl w:val="0"/>
                <w:numId w:val="3"/>
              </w:numPr>
              <w:spacing w:line="216" w:lineRule="auto"/>
              <w:ind w:left="252" w:hanging="180"/>
              <w:rPr>
                <w:rFonts w:cstheme="minorHAnsi"/>
                <w:sz w:val="20"/>
                <w:szCs w:val="18"/>
              </w:rPr>
            </w:pPr>
            <w:r w:rsidRPr="00BE158E">
              <w:rPr>
                <w:rFonts w:cstheme="minorHAnsi"/>
                <w:bCs/>
                <w:sz w:val="20"/>
                <w:szCs w:val="18"/>
              </w:rPr>
              <w:t>Economic mobility means the ability to improve one’s economic situation, which can be reflected by a geography’s cost of living, employment opportunities, and the ability to earn a living wage.</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1"/>
                <w:numId w:val="19"/>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Gini coefficient of income inequality</w:t>
            </w:r>
            <w:r w:rsidR="0070570B">
              <w:rPr>
                <w:rFonts w:eastAsia="Times New Roman" w:cstheme="minorHAnsi"/>
                <w:bCs/>
                <w:color w:val="000000"/>
                <w:kern w:val="28"/>
                <w:sz w:val="20"/>
                <w:szCs w:val="18"/>
                <w14:cntxtAlts/>
              </w:rPr>
              <w:t xml:space="preserve"> (p20-21)</w:t>
            </w:r>
          </w:p>
          <w:p w:rsidR="00E471BB" w:rsidRPr="00BE158E" w:rsidRDefault="00E471BB" w:rsidP="00E471BB">
            <w:pPr>
              <w:pStyle w:val="ListParagraph"/>
              <w:widowControl w:val="0"/>
              <w:numPr>
                <w:ilvl w:val="1"/>
                <w:numId w:val="19"/>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households below ALICE threshold</w:t>
            </w:r>
            <w:r w:rsidR="0070570B">
              <w:rPr>
                <w:rFonts w:eastAsia="Times New Roman" w:cstheme="minorHAnsi"/>
                <w:bCs/>
                <w:color w:val="000000"/>
                <w:kern w:val="28"/>
                <w:sz w:val="20"/>
                <w:szCs w:val="18"/>
                <w14:cntxtAlts/>
              </w:rPr>
              <w:t xml:space="preserve"> (p23-25)</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Affordable Housing</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4"/>
              </w:numPr>
              <w:spacing w:after="240" w:line="216" w:lineRule="auto"/>
              <w:ind w:left="252" w:hanging="180"/>
              <w:rPr>
                <w:rFonts w:cstheme="minorHAnsi"/>
                <w:bCs/>
                <w:sz w:val="20"/>
                <w:szCs w:val="18"/>
              </w:rPr>
            </w:pPr>
            <w:r w:rsidRPr="00BE158E">
              <w:rPr>
                <w:rFonts w:cstheme="minorHAnsi"/>
                <w:bCs/>
                <w:sz w:val="20"/>
                <w:szCs w:val="18"/>
              </w:rPr>
              <w:t>Affordable housing may impr</w:t>
            </w:r>
            <w:r w:rsidR="00BE158E" w:rsidRPr="00BE158E">
              <w:rPr>
                <w:rFonts w:cstheme="minorHAnsi"/>
                <w:bCs/>
                <w:sz w:val="20"/>
                <w:szCs w:val="18"/>
              </w:rPr>
              <w:t xml:space="preserve">ove health by freeing up </w:t>
            </w:r>
            <w:r w:rsidRPr="00BE158E">
              <w:rPr>
                <w:rFonts w:cstheme="minorHAnsi"/>
                <w:bCs/>
                <w:sz w:val="20"/>
                <w:szCs w:val="18"/>
              </w:rPr>
              <w:t xml:space="preserve">resources for nutritious food and health care </w:t>
            </w:r>
            <w:r w:rsidR="00BE158E" w:rsidRPr="00BE158E">
              <w:rPr>
                <w:rFonts w:cstheme="minorHAnsi"/>
                <w:bCs/>
                <w:sz w:val="20"/>
                <w:szCs w:val="18"/>
              </w:rPr>
              <w:t>costs</w:t>
            </w:r>
            <w:r w:rsidRPr="00BE158E">
              <w:rPr>
                <w:rFonts w:cstheme="minorHAnsi"/>
                <w:bCs/>
                <w:sz w:val="20"/>
                <w:szCs w:val="18"/>
              </w:rPr>
              <w:t xml:space="preserve">. </w:t>
            </w:r>
          </w:p>
          <w:p w:rsidR="00E471BB" w:rsidRPr="00BE158E" w:rsidRDefault="00E471BB" w:rsidP="00E471BB">
            <w:pPr>
              <w:pStyle w:val="ListParagraph"/>
              <w:widowControl w:val="0"/>
              <w:numPr>
                <w:ilvl w:val="0"/>
                <w:numId w:val="4"/>
              </w:numPr>
              <w:spacing w:after="240" w:line="216" w:lineRule="auto"/>
              <w:ind w:left="252" w:hanging="180"/>
              <w:rPr>
                <w:rFonts w:cstheme="minorHAnsi"/>
                <w:bCs/>
                <w:sz w:val="20"/>
                <w:szCs w:val="18"/>
              </w:rPr>
            </w:pPr>
            <w:r w:rsidRPr="00BE158E">
              <w:rPr>
                <w:rFonts w:cstheme="minorHAnsi"/>
                <w:bCs/>
                <w:sz w:val="20"/>
                <w:szCs w:val="18"/>
              </w:rPr>
              <w:t>Quality housing can reduce exposure to mental health stressors, infectious diseases, allergens, neurotoxins, and other dangers.</w:t>
            </w:r>
          </w:p>
          <w:p w:rsidR="00E471BB" w:rsidRPr="00BE158E" w:rsidRDefault="00E471BB" w:rsidP="00E471BB">
            <w:pPr>
              <w:pStyle w:val="ListParagraph"/>
              <w:widowControl w:val="0"/>
              <w:numPr>
                <w:ilvl w:val="0"/>
                <w:numId w:val="4"/>
              </w:numPr>
              <w:spacing w:after="240" w:line="216" w:lineRule="auto"/>
              <w:ind w:left="252" w:hanging="180"/>
              <w:rPr>
                <w:rFonts w:cstheme="minorHAnsi"/>
                <w:bCs/>
                <w:sz w:val="20"/>
                <w:szCs w:val="18"/>
              </w:rPr>
            </w:pPr>
            <w:r w:rsidRPr="00BE158E">
              <w:rPr>
                <w:rFonts w:cstheme="minorHAnsi"/>
                <w:bCs/>
                <w:sz w:val="20"/>
                <w:szCs w:val="18"/>
              </w:rPr>
              <w:t>Families who can only find affordable housing in very high poverty areas may be prone to greater psychological distress and exposure to violent or traumatic events.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right="108" w:hanging="162"/>
              <w:rPr>
                <w:rFonts w:cstheme="minorHAnsi"/>
                <w:bCs/>
                <w:sz w:val="20"/>
                <w:szCs w:val="18"/>
              </w:rPr>
            </w:pPr>
            <w:r w:rsidRPr="00BE158E">
              <w:rPr>
                <w:rFonts w:cstheme="minorHAnsi"/>
                <w:bCs/>
                <w:sz w:val="20"/>
                <w:szCs w:val="18"/>
              </w:rPr>
              <w:t>Percent of households who spend more than 30% of their income on housing</w:t>
            </w:r>
            <w:r w:rsidR="0070570B">
              <w:rPr>
                <w:rFonts w:cstheme="minorHAnsi"/>
                <w:bCs/>
                <w:sz w:val="20"/>
                <w:szCs w:val="18"/>
              </w:rPr>
              <w:t xml:space="preserve"> (p34-35)</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Education</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5"/>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There is a positive relationship between higher education and improved health outcomes.</w:t>
            </w:r>
          </w:p>
          <w:p w:rsidR="00E471BB" w:rsidRPr="00BE158E" w:rsidRDefault="00E471BB" w:rsidP="00E471BB">
            <w:pPr>
              <w:pStyle w:val="ListParagraph"/>
              <w:widowControl w:val="0"/>
              <w:numPr>
                <w:ilvl w:val="0"/>
                <w:numId w:val="5"/>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Years of formal education correlates strongly with improved work and economic opportunities, reduced psychosocial stress, and healthier lifestyles.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≥25 years old with a Bachelor’s degree or higher</w:t>
            </w:r>
            <w:r w:rsidR="0070570B">
              <w:rPr>
                <w:rFonts w:eastAsia="Times New Roman" w:cstheme="minorHAnsi"/>
                <w:bCs/>
                <w:color w:val="000000"/>
                <w:kern w:val="28"/>
                <w:sz w:val="20"/>
                <w:szCs w:val="18"/>
                <w14:cntxtAlts/>
              </w:rPr>
              <w:t xml:space="preserve"> (p26-28)</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Social Connection and Capital</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6"/>
              </w:numPr>
              <w:spacing w:after="240" w:line="216" w:lineRule="auto"/>
              <w:ind w:left="252" w:hanging="180"/>
              <w:rPr>
                <w:rFonts w:cstheme="minorHAnsi"/>
                <w:bCs/>
                <w:sz w:val="20"/>
                <w:szCs w:val="18"/>
              </w:rPr>
            </w:pPr>
            <w:r w:rsidRPr="00BE158E">
              <w:rPr>
                <w:rFonts w:cstheme="minorHAnsi"/>
                <w:bCs/>
                <w:sz w:val="20"/>
                <w:szCs w:val="18"/>
              </w:rPr>
              <w:t>A growing body of evidence suggests that non-parent adults have a large influence, either positive or negative, on adolescent development.</w:t>
            </w:r>
          </w:p>
          <w:p w:rsidR="00E471BB" w:rsidRPr="00BE158E" w:rsidRDefault="00E471BB" w:rsidP="00E471BB">
            <w:pPr>
              <w:pStyle w:val="ListParagraph"/>
              <w:widowControl w:val="0"/>
              <w:numPr>
                <w:ilvl w:val="0"/>
                <w:numId w:val="6"/>
              </w:numPr>
              <w:spacing w:after="240" w:line="216" w:lineRule="auto"/>
              <w:ind w:left="252" w:hanging="180"/>
              <w:rPr>
                <w:rFonts w:cstheme="minorHAnsi"/>
                <w:bCs/>
                <w:sz w:val="20"/>
                <w:szCs w:val="18"/>
              </w:rPr>
            </w:pPr>
            <w:r w:rsidRPr="00BE158E">
              <w:rPr>
                <w:rFonts w:cstheme="minorHAnsi"/>
                <w:bCs/>
                <w:sz w:val="20"/>
                <w:szCs w:val="18"/>
              </w:rPr>
              <w:t>Adolescents whose social network includes a non-parent adult mentor who is involved in illegal activity have an increased probability of becoming involved in illegal activity.</w:t>
            </w:r>
          </w:p>
          <w:p w:rsidR="00E471BB" w:rsidRPr="00BE158E" w:rsidRDefault="00E471BB" w:rsidP="00E471BB">
            <w:pPr>
              <w:pStyle w:val="ListParagraph"/>
              <w:widowControl w:val="0"/>
              <w:numPr>
                <w:ilvl w:val="0"/>
                <w:numId w:val="6"/>
              </w:numPr>
              <w:spacing w:after="240" w:line="216" w:lineRule="auto"/>
              <w:ind w:left="252" w:hanging="180"/>
              <w:rPr>
                <w:rFonts w:cstheme="minorHAnsi"/>
                <w:bCs/>
                <w:sz w:val="20"/>
                <w:szCs w:val="18"/>
              </w:rPr>
            </w:pPr>
            <w:r w:rsidRPr="00BE158E">
              <w:rPr>
                <w:rFonts w:cstheme="minorHAnsi"/>
                <w:bCs/>
                <w:sz w:val="20"/>
                <w:szCs w:val="18"/>
              </w:rPr>
              <w:t>Non-parent adults who are positive and supportive can contribute to an adolescent’s self-esteem, problem-solving behavior, and overall resilience.</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hanging="162"/>
              <w:rPr>
                <w:rFonts w:cstheme="minorHAnsi"/>
                <w:bCs/>
                <w:sz w:val="20"/>
                <w:szCs w:val="18"/>
              </w:rPr>
            </w:pPr>
            <w:r w:rsidRPr="00BE158E">
              <w:rPr>
                <w:rFonts w:cstheme="minorHAnsi"/>
                <w:bCs/>
                <w:sz w:val="20"/>
                <w:szCs w:val="18"/>
              </w:rPr>
              <w:t>Percent of adolescents who know adults in the neighborhood they could talk to about something important</w:t>
            </w:r>
            <w:r w:rsidR="0070570B">
              <w:rPr>
                <w:rFonts w:cstheme="minorHAnsi"/>
                <w:bCs/>
                <w:sz w:val="20"/>
                <w:szCs w:val="18"/>
              </w:rPr>
              <w:t xml:space="preserve"> (p29-31)</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Community Safety</w:t>
            </w:r>
          </w:p>
        </w:tc>
        <w:tc>
          <w:tcPr>
            <w:tcW w:w="3171" w:type="pct"/>
            <w:tcBorders>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7"/>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High levels of violent crime compromise physical safety and psychological well-being.</w:t>
            </w:r>
          </w:p>
          <w:p w:rsidR="00E471BB" w:rsidRPr="00BE158E" w:rsidRDefault="00E471BB" w:rsidP="00E471BB">
            <w:pPr>
              <w:pStyle w:val="ListParagraph"/>
              <w:widowControl w:val="0"/>
              <w:numPr>
                <w:ilvl w:val="0"/>
                <w:numId w:val="7"/>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Crime rates can also deter residents from pursuing healthy behaviors, such as outdoor exercise.</w:t>
            </w:r>
          </w:p>
          <w:p w:rsidR="00E471BB" w:rsidRPr="00BE158E" w:rsidRDefault="00E471BB" w:rsidP="00E471BB">
            <w:pPr>
              <w:pStyle w:val="ListParagraph"/>
              <w:widowControl w:val="0"/>
              <w:numPr>
                <w:ilvl w:val="0"/>
                <w:numId w:val="7"/>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Increased stress levels, which might arise from continuous exposure to violence or concerns about personal safety, may contribute to obesity.</w:t>
            </w:r>
          </w:p>
        </w:tc>
        <w:tc>
          <w:tcPr>
            <w:tcW w:w="1216" w:type="pct"/>
            <w:tcBorders>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violent crimes</w:t>
            </w:r>
            <w:r w:rsidR="0070570B">
              <w:rPr>
                <w:rFonts w:eastAsia="Times New Roman" w:cstheme="minorHAnsi"/>
                <w:bCs/>
                <w:color w:val="000000"/>
                <w:kern w:val="28"/>
                <w:sz w:val="20"/>
                <w:szCs w:val="18"/>
                <w14:cntxtAlts/>
              </w:rPr>
              <w:t xml:space="preserve"> (p32-33)</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Health Care Access and Quality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8"/>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Health care access and quality reflects one’s ability to physically obtain health care, to afford health care services, and receipt of appropriate and high quality health care services.</w:t>
            </w:r>
          </w:p>
          <w:p w:rsidR="00E471BB" w:rsidRPr="00BE158E" w:rsidRDefault="00E471BB" w:rsidP="00E471BB">
            <w:pPr>
              <w:pStyle w:val="ListParagraph"/>
              <w:widowControl w:val="0"/>
              <w:numPr>
                <w:ilvl w:val="0"/>
                <w:numId w:val="8"/>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Health insurance coverage helps patients gain entry into the health care system.</w:t>
            </w:r>
          </w:p>
          <w:p w:rsidR="00E471BB" w:rsidRPr="00BE158E" w:rsidRDefault="00E471BB" w:rsidP="00E471BB">
            <w:pPr>
              <w:pStyle w:val="ListParagraph"/>
              <w:widowControl w:val="0"/>
              <w:numPr>
                <w:ilvl w:val="0"/>
                <w:numId w:val="8"/>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Access to primary and preventive health care services can prevent future hospitalization and poor health outcomes. Access to specialty care providers is also critical for patients within a community.</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2E420D">
            <w:pPr>
              <w:pStyle w:val="ListParagraph"/>
              <w:widowControl w:val="0"/>
              <w:numPr>
                <w:ilvl w:val="0"/>
                <w:numId w:val="20"/>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with no primary care provider</w:t>
            </w:r>
            <w:r w:rsidR="0070570B">
              <w:rPr>
                <w:rFonts w:eastAsia="Times New Roman" w:cstheme="minorHAnsi"/>
                <w:bCs/>
                <w:color w:val="000000"/>
                <w:kern w:val="28"/>
                <w:sz w:val="20"/>
                <w:szCs w:val="18"/>
                <w14:cntxtAlts/>
              </w:rPr>
              <w:t xml:space="preserve"> (p74-76)</w:t>
            </w:r>
          </w:p>
          <w:p w:rsidR="00E471BB" w:rsidRPr="00BE158E" w:rsidRDefault="00E471BB" w:rsidP="00E471BB">
            <w:pPr>
              <w:pStyle w:val="ListParagraph"/>
              <w:widowControl w:val="0"/>
              <w:numPr>
                <w:ilvl w:val="0"/>
                <w:numId w:val="20"/>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18-64 years old with no health insurance</w:t>
            </w:r>
            <w:r w:rsidR="0070570B">
              <w:rPr>
                <w:rFonts w:eastAsia="Times New Roman" w:cstheme="minorHAnsi"/>
                <w:bCs/>
                <w:color w:val="000000"/>
                <w:kern w:val="28"/>
                <w:sz w:val="20"/>
                <w:szCs w:val="18"/>
                <w14:cntxtAlts/>
              </w:rPr>
              <w:t xml:space="preserve"> (p77-78)</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Environmental Quality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9"/>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An ideal environment is one that has clean air, water, and food and is free from toxic exposures. A contaminated environment may contribute to poor health outcomes.</w:t>
            </w:r>
          </w:p>
          <w:p w:rsidR="00E471BB" w:rsidRPr="00BE158E" w:rsidRDefault="00E471BB" w:rsidP="00E471BB">
            <w:pPr>
              <w:pStyle w:val="ListParagraph"/>
              <w:widowControl w:val="0"/>
              <w:numPr>
                <w:ilvl w:val="0"/>
                <w:numId w:val="9"/>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Human environments generally consist of two components: indoor and outdoor. Indoor environmental issues can include lead, mold, and exposure to allergens and infectious agents from insects or rodents. Outdoor environmental hazards can include poor air quality due to smoke, smog, or pollution, extreme temperatures, and contaminated water sources.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2E420D">
            <w:pPr>
              <w:pStyle w:val="ListParagraph"/>
              <w:widowControl w:val="0"/>
              <w:numPr>
                <w:ilvl w:val="0"/>
                <w:numId w:val="21"/>
              </w:numPr>
              <w:spacing w:after="60" w:line="216" w:lineRule="auto"/>
              <w:ind w:left="162" w:right="108"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elevated blood lead levels among children &lt; 6 years old</w:t>
            </w:r>
            <w:r w:rsidR="0070570B">
              <w:rPr>
                <w:rFonts w:eastAsia="Times New Roman" w:cstheme="minorHAnsi"/>
                <w:bCs/>
                <w:color w:val="000000"/>
                <w:kern w:val="28"/>
                <w:sz w:val="20"/>
                <w:szCs w:val="18"/>
                <w14:cntxtAlts/>
              </w:rPr>
              <w:t xml:space="preserve"> (p36-37)</w:t>
            </w:r>
          </w:p>
          <w:p w:rsidR="00E471BB" w:rsidRPr="00BE158E" w:rsidRDefault="00E471BB" w:rsidP="002E420D">
            <w:pPr>
              <w:pStyle w:val="ListParagraph"/>
              <w:widowControl w:val="0"/>
              <w:spacing w:after="60" w:line="216" w:lineRule="auto"/>
              <w:ind w:left="162" w:right="108"/>
              <w:rPr>
                <w:rFonts w:eastAsia="Times New Roman" w:cstheme="minorHAnsi"/>
                <w:bCs/>
                <w:color w:val="000000"/>
                <w:kern w:val="28"/>
                <w:sz w:val="20"/>
                <w:szCs w:val="18"/>
                <w14:cntxtAlts/>
              </w:rPr>
            </w:pP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Built Environment</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0"/>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 xml:space="preserve">A properly built environment enhances the development and well-being of its residents and supports healthy behaviors and outcomes. </w:t>
            </w:r>
          </w:p>
          <w:p w:rsidR="00E471BB" w:rsidRPr="00BE158E" w:rsidRDefault="00E471BB" w:rsidP="00E471BB">
            <w:pPr>
              <w:pStyle w:val="ListParagraph"/>
              <w:widowControl w:val="0"/>
              <w:numPr>
                <w:ilvl w:val="0"/>
                <w:numId w:val="10"/>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Built environment can include the design of a community (such as streets, buildings, sidewalks, parks, etc.) and the assets located within the community (grocery stores, green spaces, locations for physical activity, schools, etc.).</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the population living in a food desert</w:t>
            </w:r>
            <w:r w:rsidR="0070570B">
              <w:rPr>
                <w:rFonts w:eastAsia="Times New Roman" w:cstheme="minorHAnsi"/>
                <w:bCs/>
                <w:color w:val="000000"/>
                <w:kern w:val="28"/>
                <w:sz w:val="20"/>
                <w:szCs w:val="18"/>
                <w14:cntxtAlts/>
              </w:rPr>
              <w:t xml:space="preserve"> (p38-39)</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Obesity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1"/>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Obesity is often the result of an overall energy imbalance due to poor diet and limited physical activity.</w:t>
            </w:r>
          </w:p>
          <w:p w:rsidR="00E471BB" w:rsidRPr="00BE158E" w:rsidRDefault="00E471BB" w:rsidP="00E471BB">
            <w:pPr>
              <w:pStyle w:val="ListParagraph"/>
              <w:widowControl w:val="0"/>
              <w:numPr>
                <w:ilvl w:val="0"/>
                <w:numId w:val="11"/>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Obesity increases the risk for health conditions such as coronary heart disease, type 2 diabetes, cancer, hypertension, dyslipidemia, stroke, liver and gallbladder disease, sleep apnea and respiratory problems, and osteoarthritis.</w:t>
            </w:r>
          </w:p>
          <w:p w:rsidR="00E471BB" w:rsidRPr="00BE158E" w:rsidRDefault="00E471BB" w:rsidP="00E471BB">
            <w:pPr>
              <w:pStyle w:val="ListParagraph"/>
              <w:widowControl w:val="0"/>
              <w:numPr>
                <w:ilvl w:val="0"/>
                <w:numId w:val="11"/>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Obese individuals may face social and psychological problems, such as stigmatization and low self-esteem.</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8"/>
              </w:numPr>
              <w:spacing w:line="216" w:lineRule="auto"/>
              <w:ind w:left="162" w:hanging="162"/>
              <w:rPr>
                <w:rFonts w:eastAsia="Times New Roman" w:cstheme="minorHAnsi"/>
                <w:color w:val="000000"/>
                <w:kern w:val="28"/>
                <w:sz w:val="20"/>
                <w:szCs w:val="18"/>
                <w:lang w:val="x-none"/>
                <w14:ligatures w14:val="standard"/>
                <w14:cntxtAlts/>
              </w:rPr>
            </w:pPr>
            <w:r w:rsidRPr="00BE158E">
              <w:rPr>
                <w:rFonts w:eastAsia="Times New Roman" w:cstheme="minorHAnsi"/>
                <w:bCs/>
                <w:color w:val="000000"/>
                <w:kern w:val="28"/>
                <w:sz w:val="20"/>
                <w:szCs w:val="18"/>
                <w14:cntxtAlts/>
              </w:rPr>
              <w:t>Percent of adults who are obese</w:t>
            </w:r>
            <w:r w:rsidR="0070570B">
              <w:rPr>
                <w:rFonts w:eastAsia="Times New Roman" w:cstheme="minorHAnsi"/>
                <w:bCs/>
                <w:color w:val="000000"/>
                <w:kern w:val="28"/>
                <w:sz w:val="20"/>
                <w:szCs w:val="18"/>
                <w14:cntxtAlts/>
              </w:rPr>
              <w:t xml:space="preserve"> (p41-43)</w:t>
            </w:r>
          </w:p>
          <w:p w:rsidR="00E471BB" w:rsidRPr="00BE158E" w:rsidRDefault="00E471BB" w:rsidP="00E471BB">
            <w:pPr>
              <w:pStyle w:val="ListParagraph"/>
              <w:widowControl w:val="0"/>
              <w:numPr>
                <w:ilvl w:val="0"/>
                <w:numId w:val="18"/>
              </w:numPr>
              <w:spacing w:line="216" w:lineRule="auto"/>
              <w:ind w:left="162" w:hanging="162"/>
              <w:rPr>
                <w:rFonts w:eastAsia="Times New Roman" w:cstheme="minorHAnsi"/>
                <w:color w:val="000000"/>
                <w:kern w:val="28"/>
                <w:sz w:val="20"/>
                <w:szCs w:val="18"/>
                <w:lang w:val="x-none"/>
                <w14:ligatures w14:val="standard"/>
                <w14:cntxtAlts/>
              </w:rPr>
            </w:pPr>
            <w:r w:rsidRPr="00BE158E">
              <w:rPr>
                <w:rFonts w:eastAsia="Times New Roman" w:cstheme="minorHAnsi"/>
                <w:bCs/>
                <w:color w:val="000000"/>
                <w:kern w:val="28"/>
                <w:sz w:val="20"/>
                <w:szCs w:val="18"/>
                <w14:cntxtAlts/>
              </w:rPr>
              <w:t>Percent of adolescents who are obese</w:t>
            </w:r>
            <w:r w:rsidR="0070570B">
              <w:rPr>
                <w:rFonts w:eastAsia="Times New Roman" w:cstheme="minorHAnsi"/>
                <w:bCs/>
                <w:color w:val="000000"/>
                <w:kern w:val="28"/>
                <w:sz w:val="20"/>
                <w:szCs w:val="18"/>
                <w14:cntxtAlts/>
              </w:rPr>
              <w:t xml:space="preserve"> (p44-46)</w:t>
            </w:r>
          </w:p>
        </w:tc>
      </w:tr>
      <w:tr w:rsidR="00E471BB" w:rsidRPr="00BE158E" w:rsidTr="00BE158E">
        <w:trPr>
          <w:trHeight w:val="874"/>
        </w:trPr>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lastRenderedPageBreak/>
              <w:t>Tobacco</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2"/>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Tobacco use can include the use of cigarettes, electronic cigarettes, chewing tobacco, and other nicotine-containing products.</w:t>
            </w:r>
          </w:p>
          <w:p w:rsidR="00E471BB" w:rsidRPr="00BE158E" w:rsidRDefault="00E471BB" w:rsidP="00E471BB">
            <w:pPr>
              <w:pStyle w:val="ListParagraph"/>
              <w:widowControl w:val="0"/>
              <w:numPr>
                <w:ilvl w:val="0"/>
                <w:numId w:val="12"/>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Cigarette smoking is a cause of multiple diseases, including various cancers, cardiovascular conditions, low birth weight, and other adverse health outcomes.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2E420D">
            <w:pPr>
              <w:pStyle w:val="ListParagraph"/>
              <w:widowControl w:val="0"/>
              <w:numPr>
                <w:ilvl w:val="0"/>
                <w:numId w:val="23"/>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who currently smoke</w:t>
            </w:r>
            <w:r w:rsidR="0070570B">
              <w:rPr>
                <w:rFonts w:eastAsia="Times New Roman" w:cstheme="minorHAnsi"/>
                <w:bCs/>
                <w:color w:val="000000"/>
                <w:kern w:val="28"/>
                <w:sz w:val="20"/>
                <w:szCs w:val="18"/>
                <w14:cntxtAlts/>
              </w:rPr>
              <w:t xml:space="preserve"> (p47-49)</w:t>
            </w:r>
          </w:p>
          <w:p w:rsidR="00E471BB"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adolescents who smoked cigarettes during the past 30 days</w:t>
            </w:r>
            <w:r w:rsidR="0070570B">
              <w:rPr>
                <w:rFonts w:eastAsia="Times New Roman" w:cstheme="minorHAnsi"/>
                <w:bCs/>
                <w:color w:val="000000"/>
                <w:kern w:val="28"/>
                <w:sz w:val="20"/>
                <w:szCs w:val="18"/>
                <w14:cntxtAlts/>
              </w:rPr>
              <w:t xml:space="preserve"> (p50-52)</w:t>
            </w:r>
          </w:p>
          <w:p w:rsidR="00BE5BA7" w:rsidRPr="00BE158E" w:rsidRDefault="00BE5BA7" w:rsidP="00BE5BA7">
            <w:pPr>
              <w:pStyle w:val="ListParagraph"/>
              <w:widowControl w:val="0"/>
              <w:spacing w:line="216" w:lineRule="auto"/>
              <w:ind w:left="162"/>
              <w:rPr>
                <w:rFonts w:eastAsia="Times New Roman" w:cstheme="minorHAnsi"/>
                <w:bCs/>
                <w:color w:val="000000"/>
                <w:kern w:val="28"/>
                <w:sz w:val="20"/>
                <w:szCs w:val="18"/>
                <w14:cntxtAlts/>
              </w:rPr>
            </w:pPr>
            <w:bookmarkStart w:id="0" w:name="_GoBack"/>
            <w:bookmarkEnd w:id="0"/>
          </w:p>
        </w:tc>
      </w:tr>
      <w:tr w:rsidR="00E471BB" w:rsidRPr="00BE158E" w:rsidTr="00BE158E">
        <w:trPr>
          <w:trHeight w:val="2314"/>
        </w:trPr>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Behavioral Health</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3"/>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Behavioral health is an emerging term within the mental health and substance abuse fields that focuses on a person’s mental well-being, their ability to function in everyday life, and their concept of self.</w:t>
            </w:r>
          </w:p>
          <w:p w:rsidR="00E471BB" w:rsidRPr="00BE158E" w:rsidRDefault="00E471BB" w:rsidP="00E471BB">
            <w:pPr>
              <w:pStyle w:val="ListParagraph"/>
              <w:widowControl w:val="0"/>
              <w:numPr>
                <w:ilvl w:val="0"/>
                <w:numId w:val="13"/>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Components include aspects of mental health, including stress, depression, psychological disorders, and access to mental health services, and those relating to substance misuse, including inappropriate use of alcohol, prescription drugs, and illegal drugs.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2E420D">
            <w:pPr>
              <w:pStyle w:val="ListParagraph"/>
              <w:widowControl w:val="0"/>
              <w:numPr>
                <w:ilvl w:val="0"/>
                <w:numId w:val="22"/>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who binge drank during the past 30 days</w:t>
            </w:r>
            <w:r w:rsidR="0070570B">
              <w:rPr>
                <w:rFonts w:eastAsia="Times New Roman" w:cstheme="minorHAnsi"/>
                <w:bCs/>
                <w:color w:val="000000"/>
                <w:kern w:val="28"/>
                <w:sz w:val="20"/>
                <w:szCs w:val="18"/>
                <w14:cntxtAlts/>
              </w:rPr>
              <w:t xml:space="preserve"> (p53-55)</w:t>
            </w:r>
          </w:p>
          <w:p w:rsidR="00E471BB" w:rsidRPr="00BE158E" w:rsidRDefault="00E471BB" w:rsidP="002E420D">
            <w:pPr>
              <w:pStyle w:val="ListParagraph"/>
              <w:widowControl w:val="0"/>
              <w:numPr>
                <w:ilvl w:val="0"/>
                <w:numId w:val="22"/>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adolescents who binge drank during the past 30 days</w:t>
            </w:r>
            <w:r w:rsidR="0070570B">
              <w:rPr>
                <w:rFonts w:eastAsia="Times New Roman" w:cstheme="minorHAnsi"/>
                <w:bCs/>
                <w:color w:val="000000"/>
                <w:kern w:val="28"/>
                <w:sz w:val="20"/>
                <w:szCs w:val="18"/>
                <w14:cntxtAlts/>
              </w:rPr>
              <w:t xml:space="preserve"> (p56-58)</w:t>
            </w:r>
          </w:p>
          <w:p w:rsidR="00E471BB" w:rsidRPr="00BE158E" w:rsidRDefault="00E471BB" w:rsidP="002E420D">
            <w:pPr>
              <w:pStyle w:val="ListParagraph"/>
              <w:widowControl w:val="0"/>
              <w:numPr>
                <w:ilvl w:val="0"/>
                <w:numId w:val="22"/>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adolescents who have used marijuana in the last 30 days</w:t>
            </w:r>
            <w:r w:rsidR="0070570B">
              <w:rPr>
                <w:rFonts w:eastAsia="Times New Roman" w:cstheme="minorHAnsi"/>
                <w:bCs/>
                <w:color w:val="000000"/>
                <w:kern w:val="28"/>
                <w:sz w:val="20"/>
                <w:szCs w:val="18"/>
                <w14:cntxtAlts/>
              </w:rPr>
              <w:t xml:space="preserve"> (p59-61)</w:t>
            </w:r>
          </w:p>
          <w:p w:rsidR="00E471BB" w:rsidRPr="00BE158E" w:rsidRDefault="00E471BB" w:rsidP="002E420D">
            <w:pPr>
              <w:pStyle w:val="ListParagraph"/>
              <w:widowControl w:val="0"/>
              <w:numPr>
                <w:ilvl w:val="0"/>
                <w:numId w:val="22"/>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adolescents who have used marijuana prior to age 13</w:t>
            </w:r>
            <w:r w:rsidR="0070570B">
              <w:rPr>
                <w:rFonts w:eastAsia="Times New Roman" w:cstheme="minorHAnsi"/>
                <w:bCs/>
                <w:color w:val="000000"/>
                <w:kern w:val="28"/>
                <w:sz w:val="20"/>
                <w:szCs w:val="18"/>
                <w14:cntxtAlts/>
              </w:rPr>
              <w:t xml:space="preserve"> (p62-64)</w:t>
            </w:r>
          </w:p>
          <w:p w:rsidR="00E471BB" w:rsidRPr="00BE158E" w:rsidRDefault="00E471BB" w:rsidP="002E420D">
            <w:pPr>
              <w:pStyle w:val="ListParagraph"/>
              <w:widowControl w:val="0"/>
              <w:numPr>
                <w:ilvl w:val="0"/>
                <w:numId w:val="22"/>
              </w:numPr>
              <w:spacing w:after="60"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with poor mental health</w:t>
            </w:r>
            <w:r w:rsidR="0070570B">
              <w:rPr>
                <w:rFonts w:eastAsia="Times New Roman" w:cstheme="minorHAnsi"/>
                <w:bCs/>
                <w:color w:val="000000"/>
                <w:kern w:val="28"/>
                <w:sz w:val="20"/>
                <w:szCs w:val="18"/>
                <w14:cntxtAlts/>
              </w:rPr>
              <w:t xml:space="preserve"> (p81-83)</w:t>
            </w:r>
          </w:p>
          <w:p w:rsidR="00E471BB"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adolescents with symptoms of depression in past year</w:t>
            </w:r>
            <w:r w:rsidR="0070570B">
              <w:rPr>
                <w:rFonts w:eastAsia="Times New Roman" w:cstheme="minorHAnsi"/>
                <w:bCs/>
                <w:color w:val="000000"/>
                <w:kern w:val="28"/>
                <w:sz w:val="20"/>
                <w:szCs w:val="18"/>
                <w14:cntxtAlts/>
              </w:rPr>
              <w:t xml:space="preserve"> (p84-86)</w:t>
            </w:r>
          </w:p>
          <w:p w:rsidR="00BE5BA7" w:rsidRPr="00BE158E" w:rsidRDefault="00BE5BA7" w:rsidP="00BE5BA7">
            <w:pPr>
              <w:pStyle w:val="ListParagraph"/>
              <w:widowControl w:val="0"/>
              <w:spacing w:line="216" w:lineRule="auto"/>
              <w:ind w:left="162"/>
              <w:rPr>
                <w:rFonts w:eastAsia="Times New Roman" w:cstheme="minorHAnsi"/>
                <w:bCs/>
                <w:color w:val="000000"/>
                <w:kern w:val="28"/>
                <w:sz w:val="20"/>
                <w:szCs w:val="18"/>
                <w14:cntxtAlts/>
              </w:rPr>
            </w:pP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Physical Activity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4"/>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A lack of physical activity can increase one’s risk for cardiovascular disease, stroke, type 2 diabetes, colon and breast cancers, depression, and dementia.</w:t>
            </w:r>
          </w:p>
          <w:p w:rsidR="00E471BB" w:rsidRPr="00BE158E" w:rsidRDefault="00E471BB" w:rsidP="00E471BB">
            <w:pPr>
              <w:pStyle w:val="ListParagraph"/>
              <w:widowControl w:val="0"/>
              <w:numPr>
                <w:ilvl w:val="0"/>
                <w:numId w:val="14"/>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One’s built environment may contribute to the ability to be physically active (parks and walking trails, gyms, bike paths, etc.).</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2E420D">
            <w:pPr>
              <w:pStyle w:val="ListParagraph"/>
              <w:widowControl w:val="0"/>
              <w:numPr>
                <w:ilvl w:val="0"/>
                <w:numId w:val="24"/>
              </w:numPr>
              <w:spacing w:after="60" w:line="216" w:lineRule="auto"/>
              <w:ind w:left="162" w:right="108"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who participated in leisure time physical activity</w:t>
            </w:r>
            <w:r w:rsidR="0070570B">
              <w:rPr>
                <w:rFonts w:eastAsia="Times New Roman" w:cstheme="minorHAnsi"/>
                <w:bCs/>
                <w:color w:val="000000"/>
                <w:kern w:val="28"/>
                <w:sz w:val="20"/>
                <w:szCs w:val="18"/>
                <w14:cntxtAlts/>
              </w:rPr>
              <w:t xml:space="preserve"> (p65-67)</w:t>
            </w:r>
          </w:p>
          <w:p w:rsidR="00E471BB" w:rsidRPr="00BE158E" w:rsidRDefault="0070570B" w:rsidP="00BE158E">
            <w:pPr>
              <w:pStyle w:val="ListParagraph"/>
              <w:widowControl w:val="0"/>
              <w:spacing w:after="60" w:line="216" w:lineRule="auto"/>
              <w:ind w:left="162" w:right="108"/>
              <w:rPr>
                <w:rFonts w:eastAsia="Times New Roman" w:cstheme="minorHAnsi"/>
                <w:bCs/>
                <w:color w:val="000000"/>
                <w:kern w:val="28"/>
                <w:sz w:val="20"/>
                <w:szCs w:val="18"/>
                <w14:cntxtAlts/>
              </w:rPr>
            </w:pPr>
            <w:r>
              <w:rPr>
                <w:rFonts w:eastAsia="Times New Roman" w:cstheme="minorHAnsi"/>
                <w:bCs/>
                <w:color w:val="000000"/>
                <w:kern w:val="28"/>
                <w:sz w:val="20"/>
                <w:szCs w:val="18"/>
                <w14:cntxtAlts/>
              </w:rPr>
              <w:t xml:space="preserve"> </w:t>
            </w: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Nutrition</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5"/>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 xml:space="preserve">Fruits and vegetables provide numerous nutrients and fiber. Consuming a variety of fruits and vegetables is necessary to obtain the </w:t>
            </w:r>
            <w:r w:rsidR="00BE158E" w:rsidRPr="00BE158E">
              <w:rPr>
                <w:rFonts w:eastAsia="Times New Roman" w:cstheme="minorHAnsi"/>
                <w:bCs/>
                <w:color w:val="000000"/>
                <w:kern w:val="28"/>
                <w:sz w:val="20"/>
                <w:szCs w:val="18"/>
                <w14:cntxtAlts/>
              </w:rPr>
              <w:t>nutrients necessary for optimal</w:t>
            </w:r>
            <w:r w:rsidRPr="00BE158E">
              <w:rPr>
                <w:rFonts w:eastAsia="Times New Roman" w:cstheme="minorHAnsi"/>
                <w:bCs/>
                <w:color w:val="000000"/>
                <w:kern w:val="28"/>
                <w:sz w:val="20"/>
                <w:szCs w:val="18"/>
                <w14:cntxtAlts/>
              </w:rPr>
              <w:t xml:space="preserve"> health and, for children, proper growth and development.</w:t>
            </w:r>
          </w:p>
          <w:p w:rsidR="00E471BB" w:rsidRPr="00BE158E" w:rsidRDefault="00E471BB" w:rsidP="00BE158E">
            <w:pPr>
              <w:pStyle w:val="ListParagraph"/>
              <w:widowControl w:val="0"/>
              <w:numPr>
                <w:ilvl w:val="0"/>
                <w:numId w:val="15"/>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A plant-based diet is associated with decreased risk for chronic diseases, like cancer, diabetes, and obesity.</w:t>
            </w:r>
          </w:p>
        </w:tc>
        <w:tc>
          <w:tcPr>
            <w:tcW w:w="1216" w:type="pct"/>
            <w:tcBorders>
              <w:top w:val="double" w:sz="4" w:space="0" w:color="auto"/>
              <w:left w:val="double" w:sz="4" w:space="0" w:color="auto"/>
              <w:bottom w:val="double" w:sz="4" w:space="0" w:color="auto"/>
              <w:right w:val="double" w:sz="4" w:space="0" w:color="auto"/>
            </w:tcBorders>
          </w:tcPr>
          <w:p w:rsidR="00E471BB" w:rsidRDefault="00E471BB" w:rsidP="00E471BB">
            <w:pPr>
              <w:pStyle w:val="ListParagraph"/>
              <w:widowControl w:val="0"/>
              <w:numPr>
                <w:ilvl w:val="0"/>
                <w:numId w:val="15"/>
              </w:numPr>
              <w:spacing w:after="60" w:line="216" w:lineRule="auto"/>
              <w:ind w:left="162" w:right="108"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adults who consume ≥ 5 servings of fruits and vegetables per day</w:t>
            </w:r>
            <w:r w:rsidR="0070570B">
              <w:rPr>
                <w:rFonts w:eastAsia="Times New Roman" w:cstheme="minorHAnsi"/>
                <w:bCs/>
                <w:color w:val="000000"/>
                <w:kern w:val="28"/>
                <w:sz w:val="20"/>
                <w:szCs w:val="18"/>
                <w14:cntxtAlts/>
              </w:rPr>
              <w:t xml:space="preserve"> (p68-70)</w:t>
            </w:r>
          </w:p>
          <w:p w:rsidR="00E471BB" w:rsidRDefault="0070570B" w:rsidP="0070570B">
            <w:pPr>
              <w:pStyle w:val="ListParagraph"/>
              <w:numPr>
                <w:ilvl w:val="0"/>
                <w:numId w:val="15"/>
              </w:numPr>
              <w:autoSpaceDE w:val="0"/>
              <w:autoSpaceDN w:val="0"/>
              <w:adjustRightInd w:val="0"/>
              <w:ind w:left="155" w:hanging="155"/>
              <w:rPr>
                <w:rFonts w:cstheme="minorHAnsi"/>
                <w:sz w:val="20"/>
                <w:szCs w:val="16"/>
              </w:rPr>
            </w:pPr>
            <w:r w:rsidRPr="0070570B">
              <w:rPr>
                <w:rFonts w:cstheme="minorHAnsi"/>
                <w:sz w:val="20"/>
                <w:szCs w:val="16"/>
              </w:rPr>
              <w:t>Percentage of 9th and 11th grade students</w:t>
            </w:r>
            <w:r>
              <w:rPr>
                <w:rFonts w:cstheme="minorHAnsi"/>
                <w:sz w:val="20"/>
                <w:szCs w:val="16"/>
              </w:rPr>
              <w:t xml:space="preserve"> </w:t>
            </w:r>
            <w:r w:rsidRPr="0070570B">
              <w:rPr>
                <w:rFonts w:cstheme="minorHAnsi"/>
                <w:sz w:val="20"/>
                <w:szCs w:val="16"/>
              </w:rPr>
              <w:t>who ate five or more servings of fruits and vegetables per day during the past seven days.</w:t>
            </w:r>
            <w:r>
              <w:rPr>
                <w:rFonts w:cstheme="minorHAnsi"/>
                <w:sz w:val="20"/>
                <w:szCs w:val="16"/>
              </w:rPr>
              <w:t xml:space="preserve"> (p71-73)</w:t>
            </w:r>
          </w:p>
          <w:p w:rsidR="00BE5BA7" w:rsidRPr="0070570B" w:rsidRDefault="00BE5BA7" w:rsidP="0070570B">
            <w:pPr>
              <w:pStyle w:val="ListParagraph"/>
              <w:numPr>
                <w:ilvl w:val="0"/>
                <w:numId w:val="15"/>
              </w:numPr>
              <w:autoSpaceDE w:val="0"/>
              <w:autoSpaceDN w:val="0"/>
              <w:adjustRightInd w:val="0"/>
              <w:ind w:left="155" w:hanging="155"/>
              <w:rPr>
                <w:rFonts w:cstheme="minorHAnsi"/>
                <w:sz w:val="20"/>
                <w:szCs w:val="16"/>
              </w:rPr>
            </w:pP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Communicable Diseases</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6"/>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 xml:space="preserve">Communicable diseases are diseases that are transmitted between people. These include a variety of respiratory, gastrointestinal, sexually transmitted, </w:t>
            </w:r>
            <w:proofErr w:type="spellStart"/>
            <w:r w:rsidRPr="00BE158E">
              <w:rPr>
                <w:rFonts w:eastAsia="Times New Roman" w:cstheme="minorHAnsi"/>
                <w:bCs/>
                <w:color w:val="000000"/>
                <w:kern w:val="28"/>
                <w:sz w:val="20"/>
                <w:szCs w:val="18"/>
                <w14:cntxtAlts/>
              </w:rPr>
              <w:t>bloodborne</w:t>
            </w:r>
            <w:proofErr w:type="spellEnd"/>
            <w:r w:rsidRPr="00BE158E">
              <w:rPr>
                <w:rFonts w:eastAsia="Times New Roman" w:cstheme="minorHAnsi"/>
                <w:bCs/>
                <w:color w:val="000000"/>
                <w:kern w:val="28"/>
                <w:sz w:val="20"/>
                <w:szCs w:val="18"/>
                <w14:cntxtAlts/>
              </w:rPr>
              <w:t xml:space="preserve">, and </w:t>
            </w:r>
            <w:proofErr w:type="spellStart"/>
            <w:r w:rsidRPr="00BE158E">
              <w:rPr>
                <w:rFonts w:eastAsia="Times New Roman" w:cstheme="minorHAnsi"/>
                <w:bCs/>
                <w:color w:val="000000"/>
                <w:kern w:val="28"/>
                <w:sz w:val="20"/>
                <w:szCs w:val="18"/>
                <w14:cntxtAlts/>
              </w:rPr>
              <w:t>vectorborne</w:t>
            </w:r>
            <w:proofErr w:type="spellEnd"/>
            <w:r w:rsidRPr="00BE158E">
              <w:rPr>
                <w:rFonts w:eastAsia="Times New Roman" w:cstheme="minorHAnsi"/>
                <w:bCs/>
                <w:color w:val="000000"/>
                <w:kern w:val="28"/>
                <w:sz w:val="20"/>
                <w:szCs w:val="18"/>
                <w14:cntxtAlts/>
              </w:rPr>
              <w:t xml:space="preserve"> infections.</w:t>
            </w:r>
          </w:p>
          <w:p w:rsidR="00E471BB" w:rsidRPr="00BE158E" w:rsidRDefault="00E471BB" w:rsidP="00E471BB">
            <w:pPr>
              <w:pStyle w:val="ListParagraph"/>
              <w:widowControl w:val="0"/>
              <w:numPr>
                <w:ilvl w:val="0"/>
                <w:numId w:val="16"/>
              </w:numPr>
              <w:spacing w:after="240" w:line="216" w:lineRule="auto"/>
              <w:ind w:left="252" w:hanging="180"/>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Prevention and treatment of communicable diseases are critical to the health of both individuals and communities. Prevention can take many forms, including vaccination, hand washing, social distancing, use of insect repellants, and use of condoms during sex, to name a few.</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Percent of non-medical immunization waivers granted</w:t>
            </w:r>
            <w:r w:rsidR="0070570B">
              <w:rPr>
                <w:rFonts w:eastAsia="Times New Roman" w:cstheme="minorHAnsi"/>
                <w:bCs/>
                <w:color w:val="000000"/>
                <w:kern w:val="28"/>
                <w:sz w:val="20"/>
                <w:szCs w:val="18"/>
                <w14:cntxtAlts/>
              </w:rPr>
              <w:t xml:space="preserve"> (p79-80)</w:t>
            </w:r>
          </w:p>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chlamydia cases</w:t>
            </w:r>
            <w:r w:rsidR="00A00B0F">
              <w:rPr>
                <w:rFonts w:eastAsia="Times New Roman" w:cstheme="minorHAnsi"/>
                <w:bCs/>
                <w:color w:val="000000"/>
                <w:kern w:val="28"/>
                <w:sz w:val="20"/>
                <w:szCs w:val="18"/>
                <w14:cntxtAlts/>
              </w:rPr>
              <w:t xml:space="preserve"> (p93-94)</w:t>
            </w:r>
          </w:p>
          <w:p w:rsidR="00E471BB" w:rsidRPr="00BE158E" w:rsidRDefault="00E471BB" w:rsidP="002E420D">
            <w:pPr>
              <w:widowControl w:val="0"/>
              <w:spacing w:after="60" w:line="216" w:lineRule="auto"/>
              <w:ind w:left="162" w:hanging="162"/>
              <w:rPr>
                <w:rFonts w:eastAsia="Times New Roman" w:cstheme="minorHAnsi"/>
                <w:color w:val="000000"/>
                <w:kern w:val="28"/>
                <w:sz w:val="20"/>
                <w:szCs w:val="18"/>
                <w:lang w:val="x-none"/>
                <w14:ligatures w14:val="standard"/>
                <w14:cntxtAlts/>
              </w:rPr>
            </w:pP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Maternal and Child Health</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Maternal health concerns are traditionally thought of as those relating to pregnancy and childbirth. Increasingly, this field is expanding to consider issues such as pre– and postpartum depression, obesity, and substance misuse.</w:t>
            </w:r>
          </w:p>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Child health can relate to many topics, such as infant mortality, immunization, proper development and growth, and common childhood diseases such as asthma and obesity.</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preventable asthma hospitalization among youths &lt; 18 years</w:t>
            </w:r>
            <w:r w:rsidR="0070570B">
              <w:rPr>
                <w:rFonts w:eastAsia="Times New Roman" w:cstheme="minorHAnsi"/>
                <w:bCs/>
                <w:color w:val="000000"/>
                <w:kern w:val="28"/>
                <w:sz w:val="20"/>
                <w:szCs w:val="18"/>
                <w14:cntxtAlts/>
              </w:rPr>
              <w:t xml:space="preserve"> (p88-89)</w:t>
            </w:r>
          </w:p>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infant mortality</w:t>
            </w:r>
            <w:r w:rsidR="00A00B0F">
              <w:rPr>
                <w:rFonts w:eastAsia="Times New Roman" w:cstheme="minorHAnsi"/>
                <w:bCs/>
                <w:color w:val="000000"/>
                <w:kern w:val="28"/>
                <w:sz w:val="20"/>
                <w:szCs w:val="18"/>
                <w14:cntxtAlts/>
              </w:rPr>
              <w:t xml:space="preserve"> (p98-100)</w:t>
            </w:r>
          </w:p>
        </w:tc>
      </w:tr>
      <w:tr w:rsidR="00E471BB" w:rsidRPr="00BE158E" w:rsidTr="00BE5BA7">
        <w:trPr>
          <w:trHeight w:val="1698"/>
        </w:trPr>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lastRenderedPageBreak/>
              <w:t>Chronic Disease</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 xml:space="preserve">Chronic diseases are diseases that generally last one year or longer and usually cannot be prevented by vaccines or cured by medication. </w:t>
            </w:r>
          </w:p>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 xml:space="preserve">Examples of chronic disease include cardiovascular disease, diabetes, asthma, </w:t>
            </w:r>
            <w:r w:rsidR="00BE158E" w:rsidRPr="00BE158E">
              <w:rPr>
                <w:rFonts w:cstheme="minorHAnsi"/>
                <w:bCs/>
                <w:sz w:val="20"/>
                <w:szCs w:val="18"/>
              </w:rPr>
              <w:t>and arthritis.</w:t>
            </w:r>
          </w:p>
          <w:p w:rsidR="00E471BB" w:rsidRPr="00BE158E" w:rsidRDefault="00E471BB" w:rsidP="00BE5BA7">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 xml:space="preserve">Chronic diseases have the largest impact on the health care system, both in terms of use and financial burden. Some chronic diseases can themselves lead to other diseases and </w:t>
            </w:r>
            <w:r w:rsidR="00BE5BA7">
              <w:rPr>
                <w:rFonts w:cstheme="minorHAnsi"/>
                <w:bCs/>
                <w:sz w:val="20"/>
                <w:szCs w:val="18"/>
              </w:rPr>
              <w:t>c</w:t>
            </w:r>
            <w:r w:rsidRPr="00BE158E">
              <w:rPr>
                <w:rFonts w:cstheme="minorHAnsi"/>
                <w:bCs/>
                <w:sz w:val="20"/>
                <w:szCs w:val="18"/>
              </w:rPr>
              <w:t>ause financial and psychological distress for patients.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preventable diabetes hospitalization</w:t>
            </w:r>
            <w:r w:rsidR="00A00B0F">
              <w:rPr>
                <w:rFonts w:eastAsia="Times New Roman" w:cstheme="minorHAnsi"/>
                <w:bCs/>
                <w:color w:val="000000"/>
                <w:kern w:val="28"/>
                <w:sz w:val="20"/>
                <w:szCs w:val="18"/>
                <w14:cntxtAlts/>
              </w:rPr>
              <w:t xml:space="preserve"> (p90-92</w:t>
            </w:r>
            <w:r w:rsidR="0070570B">
              <w:rPr>
                <w:rFonts w:eastAsia="Times New Roman" w:cstheme="minorHAnsi"/>
                <w:bCs/>
                <w:color w:val="000000"/>
                <w:kern w:val="28"/>
                <w:sz w:val="20"/>
                <w:szCs w:val="18"/>
                <w14:cntxtAlts/>
              </w:rPr>
              <w:t>)</w:t>
            </w:r>
          </w:p>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preventable congestive heart failure hospitalization among adults ≥ 65 years old</w:t>
            </w:r>
            <w:r w:rsidR="00A00B0F">
              <w:rPr>
                <w:rFonts w:eastAsia="Times New Roman" w:cstheme="minorHAnsi"/>
                <w:bCs/>
                <w:color w:val="000000"/>
                <w:kern w:val="28"/>
                <w:sz w:val="20"/>
                <w:szCs w:val="18"/>
                <w14:cntxtAlts/>
              </w:rPr>
              <w:t xml:space="preserve"> (p95)</w:t>
            </w:r>
          </w:p>
          <w:p w:rsidR="00E471BB" w:rsidRPr="00BE158E" w:rsidRDefault="00E471BB" w:rsidP="00A00B0F">
            <w:pPr>
              <w:pStyle w:val="ListParagraph"/>
              <w:widowControl w:val="0"/>
              <w:spacing w:line="216" w:lineRule="auto"/>
              <w:ind w:left="162"/>
              <w:rPr>
                <w:rFonts w:eastAsia="Times New Roman" w:cstheme="minorHAnsi"/>
                <w:bCs/>
                <w:color w:val="000000"/>
                <w:kern w:val="28"/>
                <w:sz w:val="20"/>
                <w:szCs w:val="18"/>
                <w14:cntxtAlts/>
              </w:rPr>
            </w:pPr>
          </w:p>
        </w:tc>
      </w:tr>
      <w:tr w:rsidR="00E471BB" w:rsidRPr="00BE158E" w:rsidTr="00BE158E">
        <w:tc>
          <w:tcPr>
            <w:tcW w:w="613" w:type="pct"/>
            <w:tcBorders>
              <w:top w:val="double" w:sz="4" w:space="0" w:color="auto"/>
              <w:left w:val="double" w:sz="4" w:space="0" w:color="auto"/>
              <w:bottom w:val="double" w:sz="4" w:space="0" w:color="auto"/>
              <w:right w:val="double" w:sz="4" w:space="0" w:color="auto"/>
            </w:tcBorders>
            <w:vAlign w:val="center"/>
          </w:tcPr>
          <w:p w:rsidR="00E471BB" w:rsidRPr="00BE158E" w:rsidRDefault="00E471BB" w:rsidP="002E420D">
            <w:pPr>
              <w:spacing w:line="216" w:lineRule="auto"/>
              <w:jc w:val="center"/>
              <w:rPr>
                <w:rFonts w:cstheme="minorHAnsi"/>
                <w:b/>
              </w:rPr>
            </w:pPr>
            <w:r w:rsidRPr="00BE158E">
              <w:rPr>
                <w:rFonts w:cstheme="minorHAnsi"/>
                <w:b/>
              </w:rPr>
              <w:t>Accidental Injury &amp; Mortality</w:t>
            </w:r>
          </w:p>
        </w:tc>
        <w:tc>
          <w:tcPr>
            <w:tcW w:w="3171"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 xml:space="preserve">Deaths due to accidents are often the largest cause of death for children and young adults. </w:t>
            </w:r>
          </w:p>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 xml:space="preserve">Poor socioeconomic environments can lead to increased deaths from accidental injury (also referred to as unintentional injury). </w:t>
            </w:r>
          </w:p>
          <w:p w:rsidR="00E471BB" w:rsidRPr="00BE158E" w:rsidRDefault="00E471BB" w:rsidP="00E471BB">
            <w:pPr>
              <w:pStyle w:val="ListParagraph"/>
              <w:widowControl w:val="0"/>
              <w:numPr>
                <w:ilvl w:val="0"/>
                <w:numId w:val="17"/>
              </w:numPr>
              <w:spacing w:after="240" w:line="216" w:lineRule="auto"/>
              <w:ind w:left="252" w:hanging="180"/>
              <w:rPr>
                <w:rFonts w:cstheme="minorHAnsi"/>
                <w:bCs/>
                <w:sz w:val="20"/>
                <w:szCs w:val="18"/>
              </w:rPr>
            </w:pPr>
            <w:r w:rsidRPr="00BE158E">
              <w:rPr>
                <w:rFonts w:cstheme="minorHAnsi"/>
                <w:bCs/>
                <w:sz w:val="20"/>
                <w:szCs w:val="18"/>
              </w:rPr>
              <w:t>Deaths due to accidental injury can be reduced through policy efforts to reduce hazards, as well as individual and family safety precautions.</w:t>
            </w:r>
          </w:p>
        </w:tc>
        <w:tc>
          <w:tcPr>
            <w:tcW w:w="1216" w:type="pct"/>
            <w:tcBorders>
              <w:top w:val="double" w:sz="4" w:space="0" w:color="auto"/>
              <w:left w:val="double" w:sz="4" w:space="0" w:color="auto"/>
              <w:bottom w:val="double" w:sz="4" w:space="0" w:color="auto"/>
              <w:right w:val="double" w:sz="4" w:space="0" w:color="auto"/>
            </w:tcBorders>
          </w:tcPr>
          <w:p w:rsidR="00E471BB" w:rsidRPr="00BE158E"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deaths due to accidental injury</w:t>
            </w:r>
            <w:r w:rsidR="00A00B0F">
              <w:rPr>
                <w:rFonts w:eastAsia="Times New Roman" w:cstheme="minorHAnsi"/>
                <w:bCs/>
                <w:color w:val="000000"/>
                <w:kern w:val="28"/>
                <w:sz w:val="20"/>
                <w:szCs w:val="18"/>
                <w14:cntxtAlts/>
              </w:rPr>
              <w:t xml:space="preserve"> (p105-106)</w:t>
            </w:r>
          </w:p>
          <w:p w:rsidR="00E471BB" w:rsidRDefault="00E471BB"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Mortality rate</w:t>
            </w:r>
            <w:r w:rsidR="00A00B0F">
              <w:rPr>
                <w:rFonts w:eastAsia="Times New Roman" w:cstheme="minorHAnsi"/>
                <w:bCs/>
                <w:color w:val="000000"/>
                <w:kern w:val="28"/>
                <w:sz w:val="20"/>
                <w:szCs w:val="18"/>
                <w14:cntxtAlts/>
              </w:rPr>
              <w:t xml:space="preserve"> (p96-97)</w:t>
            </w:r>
          </w:p>
          <w:p w:rsidR="00A00B0F" w:rsidRPr="00BE158E" w:rsidRDefault="00A00B0F" w:rsidP="00E471BB">
            <w:pPr>
              <w:pStyle w:val="ListParagraph"/>
              <w:widowControl w:val="0"/>
              <w:numPr>
                <w:ilvl w:val="0"/>
                <w:numId w:val="22"/>
              </w:numPr>
              <w:spacing w:line="216" w:lineRule="auto"/>
              <w:ind w:left="162" w:hanging="162"/>
              <w:rPr>
                <w:rFonts w:eastAsia="Times New Roman" w:cstheme="minorHAnsi"/>
                <w:bCs/>
                <w:color w:val="000000"/>
                <w:kern w:val="28"/>
                <w:sz w:val="20"/>
                <w:szCs w:val="18"/>
                <w14:cntxtAlts/>
              </w:rPr>
            </w:pPr>
            <w:r w:rsidRPr="00BE158E">
              <w:rPr>
                <w:rFonts w:eastAsia="Times New Roman" w:cstheme="minorHAnsi"/>
                <w:bCs/>
                <w:color w:val="000000"/>
                <w:kern w:val="28"/>
                <w:sz w:val="20"/>
                <w:szCs w:val="18"/>
                <w14:cntxtAlts/>
              </w:rPr>
              <w:t>Rate of deaths due to cardiovascular disease</w:t>
            </w:r>
            <w:r>
              <w:rPr>
                <w:rFonts w:eastAsia="Times New Roman" w:cstheme="minorHAnsi"/>
                <w:bCs/>
                <w:color w:val="000000"/>
                <w:kern w:val="28"/>
                <w:sz w:val="20"/>
                <w:szCs w:val="18"/>
                <w14:cntxtAlts/>
              </w:rPr>
              <w:t xml:space="preserve"> (p101-104)</w:t>
            </w:r>
          </w:p>
        </w:tc>
      </w:tr>
    </w:tbl>
    <w:p w:rsidR="00CB21A5" w:rsidRPr="00BE158E" w:rsidRDefault="00CB21A5" w:rsidP="00BE158E">
      <w:pPr>
        <w:spacing w:line="216" w:lineRule="auto"/>
        <w:rPr>
          <w:rFonts w:cstheme="minorHAnsi"/>
        </w:rPr>
      </w:pPr>
    </w:p>
    <w:sectPr w:rsidR="00CB21A5" w:rsidRPr="00BE158E" w:rsidSect="00E471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A8C"/>
    <w:multiLevelType w:val="hybridMultilevel"/>
    <w:tmpl w:val="FD5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6F92"/>
    <w:multiLevelType w:val="hybridMultilevel"/>
    <w:tmpl w:val="1F7C207A"/>
    <w:lvl w:ilvl="0" w:tplc="DABC0C16">
      <w:start w:val="1"/>
      <w:numFmt w:val="bullet"/>
      <w:lvlText w:val=""/>
      <w:lvlJc w:val="left"/>
      <w:pPr>
        <w:ind w:left="720" w:hanging="360"/>
      </w:pPr>
      <w:rPr>
        <w:rFonts w:ascii="Symbol" w:hAnsi="Symbol" w:hint="default"/>
        <w:sz w:val="20"/>
        <w:szCs w:val="18"/>
      </w:rPr>
    </w:lvl>
    <w:lvl w:ilvl="1" w:tplc="DABC0C16">
      <w:start w:val="1"/>
      <w:numFmt w:val="bullet"/>
      <w:lvlText w:val=""/>
      <w:lvlJc w:val="left"/>
      <w:pPr>
        <w:ind w:left="1440" w:hanging="360"/>
      </w:pPr>
      <w:rPr>
        <w:rFonts w:ascii="Symbol" w:hAnsi="Symbol" w:hint="default"/>
        <w:sz w:val="20"/>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5A04"/>
    <w:multiLevelType w:val="hybridMultilevel"/>
    <w:tmpl w:val="284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941"/>
    <w:multiLevelType w:val="hybridMultilevel"/>
    <w:tmpl w:val="DA7A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804B2"/>
    <w:multiLevelType w:val="hybridMultilevel"/>
    <w:tmpl w:val="6FA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A4DE2"/>
    <w:multiLevelType w:val="hybridMultilevel"/>
    <w:tmpl w:val="543C161C"/>
    <w:lvl w:ilvl="0" w:tplc="ABF8FD30">
      <w:start w:val="1"/>
      <w:numFmt w:val="bullet"/>
      <w:lvlText w:val="•"/>
      <w:lvlJc w:val="left"/>
      <w:pPr>
        <w:tabs>
          <w:tab w:val="num" w:pos="720"/>
        </w:tabs>
        <w:ind w:left="720" w:hanging="360"/>
      </w:pPr>
      <w:rPr>
        <w:rFonts w:ascii="Arial" w:hAnsi="Arial" w:hint="default"/>
      </w:rPr>
    </w:lvl>
    <w:lvl w:ilvl="1" w:tplc="D0FAC106">
      <w:start w:val="238"/>
      <w:numFmt w:val="bullet"/>
      <w:lvlText w:val="•"/>
      <w:lvlJc w:val="left"/>
      <w:pPr>
        <w:tabs>
          <w:tab w:val="num" w:pos="1440"/>
        </w:tabs>
        <w:ind w:left="1440" w:hanging="360"/>
      </w:pPr>
      <w:rPr>
        <w:rFonts w:ascii="Arial" w:hAnsi="Arial" w:hint="default"/>
      </w:rPr>
    </w:lvl>
    <w:lvl w:ilvl="2" w:tplc="AE881048" w:tentative="1">
      <w:start w:val="1"/>
      <w:numFmt w:val="bullet"/>
      <w:lvlText w:val="•"/>
      <w:lvlJc w:val="left"/>
      <w:pPr>
        <w:tabs>
          <w:tab w:val="num" w:pos="2160"/>
        </w:tabs>
        <w:ind w:left="2160" w:hanging="360"/>
      </w:pPr>
      <w:rPr>
        <w:rFonts w:ascii="Arial" w:hAnsi="Arial" w:hint="default"/>
      </w:rPr>
    </w:lvl>
    <w:lvl w:ilvl="3" w:tplc="09A44772" w:tentative="1">
      <w:start w:val="1"/>
      <w:numFmt w:val="bullet"/>
      <w:lvlText w:val="•"/>
      <w:lvlJc w:val="left"/>
      <w:pPr>
        <w:tabs>
          <w:tab w:val="num" w:pos="2880"/>
        </w:tabs>
        <w:ind w:left="2880" w:hanging="360"/>
      </w:pPr>
      <w:rPr>
        <w:rFonts w:ascii="Arial" w:hAnsi="Arial" w:hint="default"/>
      </w:rPr>
    </w:lvl>
    <w:lvl w:ilvl="4" w:tplc="652A7FF6" w:tentative="1">
      <w:start w:val="1"/>
      <w:numFmt w:val="bullet"/>
      <w:lvlText w:val="•"/>
      <w:lvlJc w:val="left"/>
      <w:pPr>
        <w:tabs>
          <w:tab w:val="num" w:pos="3600"/>
        </w:tabs>
        <w:ind w:left="3600" w:hanging="360"/>
      </w:pPr>
      <w:rPr>
        <w:rFonts w:ascii="Arial" w:hAnsi="Arial" w:hint="default"/>
      </w:rPr>
    </w:lvl>
    <w:lvl w:ilvl="5" w:tplc="8E7A79CE" w:tentative="1">
      <w:start w:val="1"/>
      <w:numFmt w:val="bullet"/>
      <w:lvlText w:val="•"/>
      <w:lvlJc w:val="left"/>
      <w:pPr>
        <w:tabs>
          <w:tab w:val="num" w:pos="4320"/>
        </w:tabs>
        <w:ind w:left="4320" w:hanging="360"/>
      </w:pPr>
      <w:rPr>
        <w:rFonts w:ascii="Arial" w:hAnsi="Arial" w:hint="default"/>
      </w:rPr>
    </w:lvl>
    <w:lvl w:ilvl="6" w:tplc="397E1D90" w:tentative="1">
      <w:start w:val="1"/>
      <w:numFmt w:val="bullet"/>
      <w:lvlText w:val="•"/>
      <w:lvlJc w:val="left"/>
      <w:pPr>
        <w:tabs>
          <w:tab w:val="num" w:pos="5040"/>
        </w:tabs>
        <w:ind w:left="5040" w:hanging="360"/>
      </w:pPr>
      <w:rPr>
        <w:rFonts w:ascii="Arial" w:hAnsi="Arial" w:hint="default"/>
      </w:rPr>
    </w:lvl>
    <w:lvl w:ilvl="7" w:tplc="A322E490" w:tentative="1">
      <w:start w:val="1"/>
      <w:numFmt w:val="bullet"/>
      <w:lvlText w:val="•"/>
      <w:lvlJc w:val="left"/>
      <w:pPr>
        <w:tabs>
          <w:tab w:val="num" w:pos="5760"/>
        </w:tabs>
        <w:ind w:left="5760" w:hanging="360"/>
      </w:pPr>
      <w:rPr>
        <w:rFonts w:ascii="Arial" w:hAnsi="Arial" w:hint="default"/>
      </w:rPr>
    </w:lvl>
    <w:lvl w:ilvl="8" w:tplc="14B607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AB237E"/>
    <w:multiLevelType w:val="hybridMultilevel"/>
    <w:tmpl w:val="C1E0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F3F2D"/>
    <w:multiLevelType w:val="hybridMultilevel"/>
    <w:tmpl w:val="20B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47A86"/>
    <w:multiLevelType w:val="hybridMultilevel"/>
    <w:tmpl w:val="90BAA2B2"/>
    <w:lvl w:ilvl="0" w:tplc="969EAAD0">
      <w:start w:val="1"/>
      <w:numFmt w:val="bullet"/>
      <w:lvlText w:val="•"/>
      <w:lvlJc w:val="left"/>
      <w:pPr>
        <w:tabs>
          <w:tab w:val="num" w:pos="360"/>
        </w:tabs>
        <w:ind w:left="360" w:hanging="360"/>
      </w:pPr>
      <w:rPr>
        <w:rFonts w:ascii="Arial" w:hAnsi="Arial" w:hint="default"/>
      </w:rPr>
    </w:lvl>
    <w:lvl w:ilvl="1" w:tplc="6F2EB4B2">
      <w:start w:val="1"/>
      <w:numFmt w:val="bullet"/>
      <w:lvlText w:val="•"/>
      <w:lvlJc w:val="left"/>
      <w:pPr>
        <w:tabs>
          <w:tab w:val="num" w:pos="1080"/>
        </w:tabs>
        <w:ind w:left="1080" w:hanging="360"/>
      </w:pPr>
      <w:rPr>
        <w:rFonts w:ascii="Arial" w:hAnsi="Arial" w:hint="default"/>
      </w:rPr>
    </w:lvl>
    <w:lvl w:ilvl="2" w:tplc="8D8A4898">
      <w:start w:val="1"/>
      <w:numFmt w:val="bullet"/>
      <w:lvlText w:val="•"/>
      <w:lvlJc w:val="left"/>
      <w:pPr>
        <w:tabs>
          <w:tab w:val="num" w:pos="1800"/>
        </w:tabs>
        <w:ind w:left="1800" w:hanging="360"/>
      </w:pPr>
      <w:rPr>
        <w:rFonts w:ascii="Arial" w:hAnsi="Arial" w:hint="default"/>
      </w:rPr>
    </w:lvl>
    <w:lvl w:ilvl="3" w:tplc="6FCC6148" w:tentative="1">
      <w:start w:val="1"/>
      <w:numFmt w:val="bullet"/>
      <w:lvlText w:val="•"/>
      <w:lvlJc w:val="left"/>
      <w:pPr>
        <w:tabs>
          <w:tab w:val="num" w:pos="2520"/>
        </w:tabs>
        <w:ind w:left="2520" w:hanging="360"/>
      </w:pPr>
      <w:rPr>
        <w:rFonts w:ascii="Arial" w:hAnsi="Arial" w:hint="default"/>
      </w:rPr>
    </w:lvl>
    <w:lvl w:ilvl="4" w:tplc="89D42E76" w:tentative="1">
      <w:start w:val="1"/>
      <w:numFmt w:val="bullet"/>
      <w:lvlText w:val="•"/>
      <w:lvlJc w:val="left"/>
      <w:pPr>
        <w:tabs>
          <w:tab w:val="num" w:pos="3240"/>
        </w:tabs>
        <w:ind w:left="3240" w:hanging="360"/>
      </w:pPr>
      <w:rPr>
        <w:rFonts w:ascii="Arial" w:hAnsi="Arial" w:hint="default"/>
      </w:rPr>
    </w:lvl>
    <w:lvl w:ilvl="5" w:tplc="B01A52DC" w:tentative="1">
      <w:start w:val="1"/>
      <w:numFmt w:val="bullet"/>
      <w:lvlText w:val="•"/>
      <w:lvlJc w:val="left"/>
      <w:pPr>
        <w:tabs>
          <w:tab w:val="num" w:pos="3960"/>
        </w:tabs>
        <w:ind w:left="3960" w:hanging="360"/>
      </w:pPr>
      <w:rPr>
        <w:rFonts w:ascii="Arial" w:hAnsi="Arial" w:hint="default"/>
      </w:rPr>
    </w:lvl>
    <w:lvl w:ilvl="6" w:tplc="2378FBE4" w:tentative="1">
      <w:start w:val="1"/>
      <w:numFmt w:val="bullet"/>
      <w:lvlText w:val="•"/>
      <w:lvlJc w:val="left"/>
      <w:pPr>
        <w:tabs>
          <w:tab w:val="num" w:pos="4680"/>
        </w:tabs>
        <w:ind w:left="4680" w:hanging="360"/>
      </w:pPr>
      <w:rPr>
        <w:rFonts w:ascii="Arial" w:hAnsi="Arial" w:hint="default"/>
      </w:rPr>
    </w:lvl>
    <w:lvl w:ilvl="7" w:tplc="E02C90D6" w:tentative="1">
      <w:start w:val="1"/>
      <w:numFmt w:val="bullet"/>
      <w:lvlText w:val="•"/>
      <w:lvlJc w:val="left"/>
      <w:pPr>
        <w:tabs>
          <w:tab w:val="num" w:pos="5400"/>
        </w:tabs>
        <w:ind w:left="5400" w:hanging="360"/>
      </w:pPr>
      <w:rPr>
        <w:rFonts w:ascii="Arial" w:hAnsi="Arial" w:hint="default"/>
      </w:rPr>
    </w:lvl>
    <w:lvl w:ilvl="8" w:tplc="C374BFE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F776D96"/>
    <w:multiLevelType w:val="hybridMultilevel"/>
    <w:tmpl w:val="66E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888"/>
    <w:multiLevelType w:val="hybridMultilevel"/>
    <w:tmpl w:val="920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30ACD"/>
    <w:multiLevelType w:val="hybridMultilevel"/>
    <w:tmpl w:val="F6CEF6D4"/>
    <w:lvl w:ilvl="0" w:tplc="DABC0C16">
      <w:start w:val="1"/>
      <w:numFmt w:val="bullet"/>
      <w:lvlText w:val=""/>
      <w:lvlJc w:val="left"/>
      <w:pPr>
        <w:ind w:left="720" w:hanging="360"/>
      </w:pPr>
      <w:rPr>
        <w:rFonts w:ascii="Symbol" w:hAnsi="Symbol"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51FD"/>
    <w:multiLevelType w:val="hybridMultilevel"/>
    <w:tmpl w:val="52E0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65957"/>
    <w:multiLevelType w:val="hybridMultilevel"/>
    <w:tmpl w:val="579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03E6F"/>
    <w:multiLevelType w:val="hybridMultilevel"/>
    <w:tmpl w:val="C30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B540D"/>
    <w:multiLevelType w:val="hybridMultilevel"/>
    <w:tmpl w:val="95C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0025A"/>
    <w:multiLevelType w:val="hybridMultilevel"/>
    <w:tmpl w:val="3DC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34CB4"/>
    <w:multiLevelType w:val="hybridMultilevel"/>
    <w:tmpl w:val="AD1EC978"/>
    <w:lvl w:ilvl="0" w:tplc="DABC0C16">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124D7"/>
    <w:multiLevelType w:val="hybridMultilevel"/>
    <w:tmpl w:val="1AD0E3D8"/>
    <w:lvl w:ilvl="0" w:tplc="DABC0C16">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322E3"/>
    <w:multiLevelType w:val="hybridMultilevel"/>
    <w:tmpl w:val="C6C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A31C5"/>
    <w:multiLevelType w:val="hybridMultilevel"/>
    <w:tmpl w:val="29120BCA"/>
    <w:lvl w:ilvl="0" w:tplc="04090001">
      <w:start w:val="1"/>
      <w:numFmt w:val="bullet"/>
      <w:lvlText w:val=""/>
      <w:lvlJc w:val="left"/>
      <w:pPr>
        <w:ind w:left="720" w:hanging="360"/>
      </w:pPr>
      <w:rPr>
        <w:rFonts w:ascii="Symbol" w:hAnsi="Symbol" w:hint="default"/>
      </w:rPr>
    </w:lvl>
    <w:lvl w:ilvl="1" w:tplc="BA12DBA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500D"/>
    <w:multiLevelType w:val="hybridMultilevel"/>
    <w:tmpl w:val="8CFC062A"/>
    <w:lvl w:ilvl="0" w:tplc="DABC0C16">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7279E"/>
    <w:multiLevelType w:val="hybridMultilevel"/>
    <w:tmpl w:val="3386E74C"/>
    <w:lvl w:ilvl="0" w:tplc="DABC0C16">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521CE"/>
    <w:multiLevelType w:val="hybridMultilevel"/>
    <w:tmpl w:val="077A110A"/>
    <w:lvl w:ilvl="0" w:tplc="DABC0C16">
      <w:start w:val="1"/>
      <w:numFmt w:val="bullet"/>
      <w:lvlText w:val=""/>
      <w:lvlJc w:val="left"/>
      <w:pPr>
        <w:ind w:left="720" w:hanging="360"/>
      </w:pPr>
      <w:rPr>
        <w:rFonts w:ascii="Symbol" w:hAnsi="Symbol"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0"/>
  </w:num>
  <w:num w:numId="4">
    <w:abstractNumId w:val="16"/>
  </w:num>
  <w:num w:numId="5">
    <w:abstractNumId w:val="13"/>
  </w:num>
  <w:num w:numId="6">
    <w:abstractNumId w:val="4"/>
  </w:num>
  <w:num w:numId="7">
    <w:abstractNumId w:val="19"/>
  </w:num>
  <w:num w:numId="8">
    <w:abstractNumId w:val="6"/>
  </w:num>
  <w:num w:numId="9">
    <w:abstractNumId w:val="10"/>
  </w:num>
  <w:num w:numId="10">
    <w:abstractNumId w:val="12"/>
  </w:num>
  <w:num w:numId="11">
    <w:abstractNumId w:val="2"/>
  </w:num>
  <w:num w:numId="12">
    <w:abstractNumId w:val="3"/>
  </w:num>
  <w:num w:numId="13">
    <w:abstractNumId w:val="0"/>
  </w:num>
  <w:num w:numId="14">
    <w:abstractNumId w:val="14"/>
  </w:num>
  <w:num w:numId="15">
    <w:abstractNumId w:val="15"/>
  </w:num>
  <w:num w:numId="16">
    <w:abstractNumId w:val="9"/>
  </w:num>
  <w:num w:numId="17">
    <w:abstractNumId w:val="7"/>
  </w:num>
  <w:num w:numId="18">
    <w:abstractNumId w:val="23"/>
  </w:num>
  <w:num w:numId="19">
    <w:abstractNumId w:val="1"/>
  </w:num>
  <w:num w:numId="20">
    <w:abstractNumId w:val="17"/>
  </w:num>
  <w:num w:numId="21">
    <w:abstractNumId w:val="21"/>
  </w:num>
  <w:num w:numId="22">
    <w:abstractNumId w:val="11"/>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2F011E"/>
    <w:rsid w:val="0070570B"/>
    <w:rsid w:val="009F7134"/>
    <w:rsid w:val="00A00B0F"/>
    <w:rsid w:val="00BE158E"/>
    <w:rsid w:val="00BE5BA7"/>
    <w:rsid w:val="00CB21A5"/>
    <w:rsid w:val="00CC2BBC"/>
    <w:rsid w:val="00E4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8B52-025A-45F3-85E4-2015DDA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BB"/>
    <w:pPr>
      <w:ind w:left="720"/>
      <w:contextualSpacing/>
    </w:pPr>
  </w:style>
  <w:style w:type="table" w:styleId="TableGrid">
    <w:name w:val="Table Grid"/>
    <w:basedOn w:val="TableNormal"/>
    <w:uiPriority w:val="39"/>
    <w:rsid w:val="00E4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2097">
      <w:bodyDiv w:val="1"/>
      <w:marLeft w:val="0"/>
      <w:marRight w:val="0"/>
      <w:marTop w:val="0"/>
      <w:marBottom w:val="0"/>
      <w:divBdr>
        <w:top w:val="none" w:sz="0" w:space="0" w:color="auto"/>
        <w:left w:val="none" w:sz="0" w:space="0" w:color="auto"/>
        <w:bottom w:val="none" w:sz="0" w:space="0" w:color="auto"/>
        <w:right w:val="none" w:sz="0" w:space="0" w:color="auto"/>
      </w:divBdr>
      <w:divsChild>
        <w:div w:id="633365272">
          <w:marLeft w:val="446"/>
          <w:marRight w:val="0"/>
          <w:marTop w:val="200"/>
          <w:marBottom w:val="0"/>
          <w:divBdr>
            <w:top w:val="none" w:sz="0" w:space="0" w:color="auto"/>
            <w:left w:val="none" w:sz="0" w:space="0" w:color="auto"/>
            <w:bottom w:val="none" w:sz="0" w:space="0" w:color="auto"/>
            <w:right w:val="none" w:sz="0" w:space="0" w:color="auto"/>
          </w:divBdr>
        </w:div>
        <w:div w:id="923998386">
          <w:marLeft w:val="446"/>
          <w:marRight w:val="0"/>
          <w:marTop w:val="200"/>
          <w:marBottom w:val="0"/>
          <w:divBdr>
            <w:top w:val="none" w:sz="0" w:space="0" w:color="auto"/>
            <w:left w:val="none" w:sz="0" w:space="0" w:color="auto"/>
            <w:bottom w:val="none" w:sz="0" w:space="0" w:color="auto"/>
            <w:right w:val="none" w:sz="0" w:space="0" w:color="auto"/>
          </w:divBdr>
        </w:div>
        <w:div w:id="576089739">
          <w:marLeft w:val="446"/>
          <w:marRight w:val="0"/>
          <w:marTop w:val="200"/>
          <w:marBottom w:val="0"/>
          <w:divBdr>
            <w:top w:val="none" w:sz="0" w:space="0" w:color="auto"/>
            <w:left w:val="none" w:sz="0" w:space="0" w:color="auto"/>
            <w:bottom w:val="none" w:sz="0" w:space="0" w:color="auto"/>
            <w:right w:val="none" w:sz="0" w:space="0" w:color="auto"/>
          </w:divBdr>
        </w:div>
        <w:div w:id="122622000">
          <w:marLeft w:val="446"/>
          <w:marRight w:val="0"/>
          <w:marTop w:val="200"/>
          <w:marBottom w:val="0"/>
          <w:divBdr>
            <w:top w:val="none" w:sz="0" w:space="0" w:color="auto"/>
            <w:left w:val="none" w:sz="0" w:space="0" w:color="auto"/>
            <w:bottom w:val="none" w:sz="0" w:space="0" w:color="auto"/>
            <w:right w:val="none" w:sz="0" w:space="0" w:color="auto"/>
          </w:divBdr>
        </w:div>
        <w:div w:id="1307851816">
          <w:marLeft w:val="446"/>
          <w:marRight w:val="0"/>
          <w:marTop w:val="100"/>
          <w:marBottom w:val="0"/>
          <w:divBdr>
            <w:top w:val="none" w:sz="0" w:space="0" w:color="auto"/>
            <w:left w:val="none" w:sz="0" w:space="0" w:color="auto"/>
            <w:bottom w:val="none" w:sz="0" w:space="0" w:color="auto"/>
            <w:right w:val="none" w:sz="0" w:space="0" w:color="auto"/>
          </w:divBdr>
        </w:div>
        <w:div w:id="786847847">
          <w:marLeft w:val="446"/>
          <w:marRight w:val="0"/>
          <w:marTop w:val="200"/>
          <w:marBottom w:val="0"/>
          <w:divBdr>
            <w:top w:val="none" w:sz="0" w:space="0" w:color="auto"/>
            <w:left w:val="none" w:sz="0" w:space="0" w:color="auto"/>
            <w:bottom w:val="none" w:sz="0" w:space="0" w:color="auto"/>
            <w:right w:val="none" w:sz="0" w:space="0" w:color="auto"/>
          </w:divBdr>
        </w:div>
        <w:div w:id="1201088531">
          <w:marLeft w:val="446"/>
          <w:marRight w:val="0"/>
          <w:marTop w:val="200"/>
          <w:marBottom w:val="0"/>
          <w:divBdr>
            <w:top w:val="none" w:sz="0" w:space="0" w:color="auto"/>
            <w:left w:val="none" w:sz="0" w:space="0" w:color="auto"/>
            <w:bottom w:val="none" w:sz="0" w:space="0" w:color="auto"/>
            <w:right w:val="none" w:sz="0" w:space="0" w:color="auto"/>
          </w:divBdr>
        </w:div>
        <w:div w:id="1257522545">
          <w:marLeft w:val="446"/>
          <w:marRight w:val="0"/>
          <w:marTop w:val="200"/>
          <w:marBottom w:val="0"/>
          <w:divBdr>
            <w:top w:val="none" w:sz="0" w:space="0" w:color="auto"/>
            <w:left w:val="none" w:sz="0" w:space="0" w:color="auto"/>
            <w:bottom w:val="none" w:sz="0" w:space="0" w:color="auto"/>
            <w:right w:val="none" w:sz="0" w:space="0" w:color="auto"/>
          </w:divBdr>
        </w:div>
      </w:divsChild>
    </w:div>
    <w:div w:id="1905141311">
      <w:bodyDiv w:val="1"/>
      <w:marLeft w:val="0"/>
      <w:marRight w:val="0"/>
      <w:marTop w:val="0"/>
      <w:marBottom w:val="0"/>
      <w:divBdr>
        <w:top w:val="none" w:sz="0" w:space="0" w:color="auto"/>
        <w:left w:val="none" w:sz="0" w:space="0" w:color="auto"/>
        <w:bottom w:val="none" w:sz="0" w:space="0" w:color="auto"/>
        <w:right w:val="none" w:sz="0" w:space="0" w:color="auto"/>
      </w:divBdr>
      <w:divsChild>
        <w:div w:id="407731853">
          <w:marLeft w:val="446"/>
          <w:marRight w:val="0"/>
          <w:marTop w:val="200"/>
          <w:marBottom w:val="0"/>
          <w:divBdr>
            <w:top w:val="none" w:sz="0" w:space="0" w:color="auto"/>
            <w:left w:val="none" w:sz="0" w:space="0" w:color="auto"/>
            <w:bottom w:val="none" w:sz="0" w:space="0" w:color="auto"/>
            <w:right w:val="none" w:sz="0" w:space="0" w:color="auto"/>
          </w:divBdr>
        </w:div>
        <w:div w:id="624242122">
          <w:marLeft w:val="446"/>
          <w:marRight w:val="0"/>
          <w:marTop w:val="200"/>
          <w:marBottom w:val="0"/>
          <w:divBdr>
            <w:top w:val="none" w:sz="0" w:space="0" w:color="auto"/>
            <w:left w:val="none" w:sz="0" w:space="0" w:color="auto"/>
            <w:bottom w:val="none" w:sz="0" w:space="0" w:color="auto"/>
            <w:right w:val="none" w:sz="0" w:space="0" w:color="auto"/>
          </w:divBdr>
        </w:div>
        <w:div w:id="1213729524">
          <w:marLeft w:val="446"/>
          <w:marRight w:val="0"/>
          <w:marTop w:val="200"/>
          <w:marBottom w:val="0"/>
          <w:divBdr>
            <w:top w:val="none" w:sz="0" w:space="0" w:color="auto"/>
            <w:left w:val="none" w:sz="0" w:space="0" w:color="auto"/>
            <w:bottom w:val="none" w:sz="0" w:space="0" w:color="auto"/>
            <w:right w:val="none" w:sz="0" w:space="0" w:color="auto"/>
          </w:divBdr>
        </w:div>
        <w:div w:id="1294360315">
          <w:marLeft w:val="446"/>
          <w:marRight w:val="0"/>
          <w:marTop w:val="200"/>
          <w:marBottom w:val="0"/>
          <w:divBdr>
            <w:top w:val="none" w:sz="0" w:space="0" w:color="auto"/>
            <w:left w:val="none" w:sz="0" w:space="0" w:color="auto"/>
            <w:bottom w:val="none" w:sz="0" w:space="0" w:color="auto"/>
            <w:right w:val="none" w:sz="0" w:space="0" w:color="auto"/>
          </w:divBdr>
        </w:div>
        <w:div w:id="1389916435">
          <w:marLeft w:val="446"/>
          <w:marRight w:val="0"/>
          <w:marTop w:val="200"/>
          <w:marBottom w:val="0"/>
          <w:divBdr>
            <w:top w:val="none" w:sz="0" w:space="0" w:color="auto"/>
            <w:left w:val="none" w:sz="0" w:space="0" w:color="auto"/>
            <w:bottom w:val="none" w:sz="0" w:space="0" w:color="auto"/>
            <w:right w:val="none" w:sz="0" w:space="0" w:color="auto"/>
          </w:divBdr>
        </w:div>
        <w:div w:id="683242791">
          <w:marLeft w:val="446"/>
          <w:marRight w:val="0"/>
          <w:marTop w:val="200"/>
          <w:marBottom w:val="0"/>
          <w:divBdr>
            <w:top w:val="none" w:sz="0" w:space="0" w:color="auto"/>
            <w:left w:val="none" w:sz="0" w:space="0" w:color="auto"/>
            <w:bottom w:val="none" w:sz="0" w:space="0" w:color="auto"/>
            <w:right w:val="none" w:sz="0" w:space="0" w:color="auto"/>
          </w:divBdr>
        </w:div>
        <w:div w:id="1412040916">
          <w:marLeft w:val="446"/>
          <w:marRight w:val="0"/>
          <w:marTop w:val="200"/>
          <w:marBottom w:val="0"/>
          <w:divBdr>
            <w:top w:val="none" w:sz="0" w:space="0" w:color="auto"/>
            <w:left w:val="none" w:sz="0" w:space="0" w:color="auto"/>
            <w:bottom w:val="none" w:sz="0" w:space="0" w:color="auto"/>
            <w:right w:val="none" w:sz="0" w:space="0" w:color="auto"/>
          </w:divBdr>
        </w:div>
        <w:div w:id="25719935">
          <w:marLeft w:val="446"/>
          <w:marRight w:val="0"/>
          <w:marTop w:val="200"/>
          <w:marBottom w:val="0"/>
          <w:divBdr>
            <w:top w:val="none" w:sz="0" w:space="0" w:color="auto"/>
            <w:left w:val="none" w:sz="0" w:space="0" w:color="auto"/>
            <w:bottom w:val="none" w:sz="0" w:space="0" w:color="auto"/>
            <w:right w:val="none" w:sz="0" w:space="0" w:color="auto"/>
          </w:divBdr>
        </w:div>
        <w:div w:id="119427277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9BA2FB53.dotm</Template>
  <TotalTime>227</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BEDHD</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Hughes</dc:creator>
  <cp:keywords/>
  <dc:description/>
  <cp:lastModifiedBy>Christopher Hughes</cp:lastModifiedBy>
  <cp:revision>4</cp:revision>
  <dcterms:created xsi:type="dcterms:W3CDTF">2021-10-20T14:15:00Z</dcterms:created>
  <dcterms:modified xsi:type="dcterms:W3CDTF">2021-10-21T18:24:00Z</dcterms:modified>
</cp:coreProperties>
</file>